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44"/>
        <w:ind w:left="1" w:right="0" w:firstLine="0"/>
        <w:jc w:val="left"/>
        <w:rPr>
          <w:sz w:val="21"/>
        </w:rPr>
      </w:pPr>
      <w:r>
        <w:rPr>
          <w:sz w:val="21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6611021</wp:posOffset>
            </wp:positionH>
            <wp:positionV relativeFrom="paragraph">
              <wp:posOffset>-1524</wp:posOffset>
            </wp:positionV>
            <wp:extent cx="588050" cy="57587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8050" cy="575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231F20"/>
          <w:sz w:val="21"/>
        </w:rPr>
        <w:t>Andhra Pradesh J</w:t>
      </w:r>
      <w:r>
        <w:rPr>
          <w:i/>
          <w:color w:val="231F20"/>
          <w:spacing w:val="-4"/>
          <w:sz w:val="21"/>
        </w:rPr>
        <w:t> </w:t>
      </w:r>
      <w:r>
        <w:rPr>
          <w:i/>
          <w:color w:val="231F20"/>
          <w:sz w:val="21"/>
        </w:rPr>
        <w:t>Agril. Sci</w:t>
      </w:r>
      <w:r>
        <w:rPr>
          <w:i/>
          <w:color w:val="231F20"/>
          <w:spacing w:val="-1"/>
          <w:sz w:val="21"/>
        </w:rPr>
        <w:t> </w:t>
      </w:r>
      <w:r>
        <w:rPr>
          <w:color w:val="231F20"/>
          <w:sz w:val="21"/>
        </w:rPr>
        <w:t>: 12(1): 21-24, </w:t>
      </w:r>
      <w:r>
        <w:rPr>
          <w:color w:val="231F20"/>
          <w:spacing w:val="-4"/>
          <w:sz w:val="21"/>
        </w:rPr>
        <w:t>2026</w:t>
      </w:r>
    </w:p>
    <w:p>
      <w:pPr>
        <w:pStyle w:val="BodyText"/>
        <w:ind w:left="0"/>
        <w:jc w:val="left"/>
        <w:rPr>
          <w:sz w:val="24"/>
        </w:rPr>
      </w:pPr>
    </w:p>
    <w:p>
      <w:pPr>
        <w:pStyle w:val="BodyText"/>
        <w:spacing w:before="77"/>
        <w:ind w:left="0"/>
        <w:jc w:val="left"/>
        <w:rPr>
          <w:sz w:val="24"/>
        </w:rPr>
      </w:pPr>
    </w:p>
    <w:p>
      <w:pPr>
        <w:pStyle w:val="Heading1"/>
        <w:spacing w:line="270" w:lineRule="exact"/>
        <w:ind w:left="11" w:right="149"/>
        <w:jc w:val="center"/>
      </w:pPr>
      <w:r>
        <w:rPr>
          <w:color w:val="231F20"/>
        </w:rPr>
        <w:t>EFFECT</w:t>
      </w:r>
      <w:r>
        <w:rPr>
          <w:color w:val="231F20"/>
          <w:spacing w:val="-11"/>
        </w:rPr>
        <w:t> </w:t>
      </w:r>
      <w:r>
        <w:rPr>
          <w:color w:val="231F20"/>
        </w:rPr>
        <w:t>OF</w:t>
      </w:r>
      <w:r>
        <w:rPr>
          <w:color w:val="231F20"/>
          <w:spacing w:val="-8"/>
        </w:rPr>
        <w:t> </w:t>
      </w:r>
      <w:r>
        <w:rPr>
          <w:color w:val="231F20"/>
        </w:rPr>
        <w:t>GROUNDNUT</w:t>
      </w:r>
      <w:r>
        <w:rPr>
          <w:color w:val="231F20"/>
          <w:spacing w:val="-8"/>
        </w:rPr>
        <w:t> </w:t>
      </w:r>
      <w:r>
        <w:rPr>
          <w:color w:val="231F20"/>
        </w:rPr>
        <w:t>BASED</w:t>
      </w:r>
      <w:r>
        <w:rPr>
          <w:color w:val="231F20"/>
          <w:spacing w:val="-9"/>
        </w:rPr>
        <w:t> </w:t>
      </w:r>
      <w:r>
        <w:rPr>
          <w:color w:val="231F20"/>
        </w:rPr>
        <w:t>MILLET</w:t>
      </w:r>
      <w:r>
        <w:rPr>
          <w:color w:val="231F20"/>
          <w:spacing w:val="-8"/>
        </w:rPr>
        <w:t> </w:t>
      </w:r>
      <w:r>
        <w:rPr>
          <w:color w:val="231F20"/>
        </w:rPr>
        <w:t>INTERCROPPING</w:t>
      </w:r>
      <w:r>
        <w:rPr>
          <w:color w:val="231F20"/>
          <w:spacing w:val="-8"/>
        </w:rPr>
        <w:t> </w:t>
      </w:r>
      <w:r>
        <w:rPr>
          <w:color w:val="231F20"/>
        </w:rPr>
        <w:t>SYSTEM</w:t>
      </w:r>
      <w:r>
        <w:rPr>
          <w:color w:val="231F20"/>
          <w:spacing w:val="-8"/>
        </w:rPr>
        <w:t> </w:t>
      </w:r>
      <w:r>
        <w:rPr>
          <w:color w:val="231F20"/>
        </w:rPr>
        <w:t>ON</w:t>
      </w:r>
      <w:r>
        <w:rPr>
          <w:color w:val="231F20"/>
          <w:spacing w:val="-9"/>
        </w:rPr>
        <w:t> </w:t>
      </w:r>
      <w:r>
        <w:rPr>
          <w:color w:val="231F20"/>
        </w:rPr>
        <w:t>YIELD</w:t>
      </w:r>
      <w:r>
        <w:rPr>
          <w:color w:val="231F20"/>
          <w:spacing w:val="-8"/>
        </w:rPr>
        <w:t> </w:t>
      </w:r>
      <w:r>
        <w:rPr>
          <w:color w:val="231F20"/>
          <w:spacing w:val="-5"/>
        </w:rPr>
        <w:t>AND</w:t>
      </w:r>
    </w:p>
    <w:p>
      <w:pPr>
        <w:spacing w:line="270" w:lineRule="exact" w:before="0"/>
        <w:ind w:left="0" w:right="149" w:firstLine="0"/>
        <w:jc w:val="center"/>
        <w:rPr>
          <w:b/>
          <w:sz w:val="24"/>
        </w:rPr>
      </w:pPr>
      <w:r>
        <w:rPr>
          <w:b/>
          <w:color w:val="231F20"/>
          <w:sz w:val="24"/>
        </w:rPr>
        <w:t>ECONOMICS</w:t>
      </w:r>
      <w:r>
        <w:rPr>
          <w:b/>
          <w:color w:val="231F20"/>
          <w:spacing w:val="-12"/>
          <w:sz w:val="24"/>
        </w:rPr>
        <w:t> </w:t>
      </w:r>
      <w:r>
        <w:rPr>
          <w:b/>
          <w:color w:val="231F20"/>
          <w:sz w:val="24"/>
        </w:rPr>
        <w:t>OF</w:t>
      </w:r>
      <w:r>
        <w:rPr>
          <w:b/>
          <w:color w:val="231F20"/>
          <w:spacing w:val="-9"/>
          <w:sz w:val="24"/>
        </w:rPr>
        <w:t> </w:t>
      </w:r>
      <w:r>
        <w:rPr>
          <w:b/>
          <w:color w:val="231F20"/>
          <w:sz w:val="24"/>
        </w:rPr>
        <w:t>GROUNDNUT</w:t>
      </w:r>
      <w:r>
        <w:rPr>
          <w:b/>
          <w:color w:val="231F20"/>
          <w:spacing w:val="-9"/>
          <w:sz w:val="24"/>
        </w:rPr>
        <w:t> </w:t>
      </w:r>
      <w:r>
        <w:rPr>
          <w:b/>
          <w:color w:val="231F20"/>
          <w:sz w:val="24"/>
        </w:rPr>
        <w:t>(</w:t>
      </w:r>
      <w:r>
        <w:rPr>
          <w:b/>
          <w:i/>
          <w:color w:val="231F20"/>
          <w:sz w:val="24"/>
        </w:rPr>
        <w:t>Arachis</w:t>
      </w:r>
      <w:r>
        <w:rPr>
          <w:b/>
          <w:i/>
          <w:color w:val="231F20"/>
          <w:spacing w:val="-9"/>
          <w:sz w:val="24"/>
        </w:rPr>
        <w:t> </w:t>
      </w:r>
      <w:r>
        <w:rPr>
          <w:b/>
          <w:i/>
          <w:color w:val="231F20"/>
          <w:sz w:val="24"/>
        </w:rPr>
        <w:t>hypogaea</w:t>
      </w:r>
      <w:r>
        <w:rPr>
          <w:b/>
          <w:i/>
          <w:color w:val="231F20"/>
          <w:spacing w:val="-8"/>
          <w:sz w:val="24"/>
        </w:rPr>
        <w:t> </w:t>
      </w:r>
      <w:r>
        <w:rPr>
          <w:b/>
          <w:color w:val="231F20"/>
          <w:spacing w:val="-5"/>
          <w:sz w:val="24"/>
        </w:rPr>
        <w:t>L.)</w:t>
      </w:r>
    </w:p>
    <w:p>
      <w:pPr>
        <w:spacing w:before="182"/>
        <w:ind w:left="825" w:right="0" w:firstLine="0"/>
        <w:jc w:val="left"/>
        <w:rPr>
          <w:b/>
          <w:sz w:val="20"/>
        </w:rPr>
      </w:pPr>
      <w:r>
        <w:rPr>
          <w:b/>
          <w:color w:val="231F20"/>
          <w:sz w:val="20"/>
        </w:rPr>
        <w:t>B.</w:t>
      </w:r>
      <w:r>
        <w:rPr>
          <w:b/>
          <w:color w:val="231F20"/>
          <w:spacing w:val="-6"/>
          <w:sz w:val="20"/>
        </w:rPr>
        <w:t> </w:t>
      </w:r>
      <w:r>
        <w:rPr>
          <w:b/>
          <w:color w:val="231F20"/>
          <w:sz w:val="20"/>
        </w:rPr>
        <w:t>NIHARIKA*,</w:t>
      </w:r>
      <w:r>
        <w:rPr>
          <w:b/>
          <w:color w:val="231F20"/>
          <w:spacing w:val="-4"/>
          <w:sz w:val="20"/>
        </w:rPr>
        <w:t> </w:t>
      </w:r>
      <w:r>
        <w:rPr>
          <w:b/>
          <w:color w:val="231F20"/>
          <w:sz w:val="20"/>
        </w:rPr>
        <w:t>T.</w:t>
      </w:r>
      <w:r>
        <w:rPr>
          <w:b/>
          <w:color w:val="231F20"/>
          <w:spacing w:val="-3"/>
          <w:sz w:val="20"/>
        </w:rPr>
        <w:t> </w:t>
      </w:r>
      <w:r>
        <w:rPr>
          <w:b/>
          <w:color w:val="231F20"/>
          <w:sz w:val="20"/>
        </w:rPr>
        <w:t>PRATHIMA,</w:t>
      </w:r>
      <w:r>
        <w:rPr>
          <w:b/>
          <w:color w:val="231F20"/>
          <w:spacing w:val="-4"/>
          <w:sz w:val="20"/>
        </w:rPr>
        <w:t> </w:t>
      </w:r>
      <w:r>
        <w:rPr>
          <w:b/>
          <w:color w:val="231F20"/>
          <w:sz w:val="20"/>
        </w:rPr>
        <w:t>A.</w:t>
      </w:r>
      <w:r>
        <w:rPr>
          <w:b/>
          <w:color w:val="231F20"/>
          <w:spacing w:val="-3"/>
          <w:sz w:val="20"/>
        </w:rPr>
        <w:t> </w:t>
      </w:r>
      <w:r>
        <w:rPr>
          <w:b/>
          <w:color w:val="231F20"/>
          <w:sz w:val="20"/>
        </w:rPr>
        <w:t>V.</w:t>
      </w:r>
      <w:r>
        <w:rPr>
          <w:b/>
          <w:color w:val="231F20"/>
          <w:spacing w:val="-4"/>
          <w:sz w:val="20"/>
        </w:rPr>
        <w:t> </w:t>
      </w:r>
      <w:r>
        <w:rPr>
          <w:b/>
          <w:color w:val="231F20"/>
          <w:sz w:val="20"/>
        </w:rPr>
        <w:t>NAGAVANI,</w:t>
      </w:r>
      <w:r>
        <w:rPr>
          <w:b/>
          <w:color w:val="231F20"/>
          <w:spacing w:val="-3"/>
          <w:sz w:val="20"/>
        </w:rPr>
        <w:t> </w:t>
      </w:r>
      <w:r>
        <w:rPr>
          <w:b/>
          <w:color w:val="231F20"/>
          <w:sz w:val="20"/>
        </w:rPr>
        <w:t>M.</w:t>
      </w:r>
      <w:r>
        <w:rPr>
          <w:b/>
          <w:color w:val="231F20"/>
          <w:spacing w:val="-4"/>
          <w:sz w:val="20"/>
        </w:rPr>
        <w:t> </w:t>
      </w:r>
      <w:r>
        <w:rPr>
          <w:b/>
          <w:color w:val="231F20"/>
          <w:sz w:val="20"/>
        </w:rPr>
        <w:t>MADAN</w:t>
      </w:r>
      <w:r>
        <w:rPr>
          <w:b/>
          <w:color w:val="231F20"/>
          <w:spacing w:val="-4"/>
          <w:sz w:val="20"/>
        </w:rPr>
        <w:t> </w:t>
      </w:r>
      <w:r>
        <w:rPr>
          <w:b/>
          <w:color w:val="231F20"/>
          <w:sz w:val="20"/>
        </w:rPr>
        <w:t>MOHAN</w:t>
      </w:r>
      <w:r>
        <w:rPr>
          <w:b/>
          <w:color w:val="231F20"/>
          <w:spacing w:val="-5"/>
          <w:sz w:val="20"/>
        </w:rPr>
        <w:t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-4"/>
          <w:sz w:val="20"/>
        </w:rPr>
        <w:t> </w:t>
      </w:r>
      <w:r>
        <w:rPr>
          <w:b/>
          <w:color w:val="231F20"/>
          <w:sz w:val="20"/>
        </w:rPr>
        <w:t>V.</w:t>
      </w:r>
      <w:r>
        <w:rPr>
          <w:b/>
          <w:color w:val="231F20"/>
          <w:spacing w:val="-3"/>
          <w:sz w:val="20"/>
        </w:rPr>
        <w:t> </w:t>
      </w:r>
      <w:r>
        <w:rPr>
          <w:b/>
          <w:color w:val="231F20"/>
          <w:spacing w:val="-2"/>
          <w:sz w:val="20"/>
        </w:rPr>
        <w:t>CHANDRIKA</w:t>
      </w:r>
    </w:p>
    <w:p>
      <w:pPr>
        <w:spacing w:before="212"/>
        <w:ind w:left="11" w:right="149" w:firstLine="0"/>
        <w:jc w:val="center"/>
        <w:rPr>
          <w:sz w:val="20"/>
        </w:rPr>
      </w:pPr>
      <w:r>
        <w:rPr>
          <w:color w:val="231F20"/>
          <w:sz w:val="20"/>
        </w:rPr>
        <w:t>Department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of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Agronomy,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ANGRAU-S.V.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Agricultural</w:t>
      </w:r>
      <w:r>
        <w:rPr>
          <w:color w:val="231F20"/>
          <w:spacing w:val="-2"/>
          <w:sz w:val="20"/>
        </w:rPr>
        <w:t> </w:t>
      </w:r>
      <w:r>
        <w:rPr>
          <w:color w:val="231F20"/>
          <w:sz w:val="20"/>
        </w:rPr>
        <w:t>College,Tirupati-517</w:t>
      </w:r>
      <w:r>
        <w:rPr>
          <w:color w:val="231F20"/>
          <w:spacing w:val="-1"/>
          <w:sz w:val="20"/>
        </w:rPr>
        <w:t> </w:t>
      </w:r>
      <w:r>
        <w:rPr>
          <w:color w:val="231F20"/>
          <w:spacing w:val="-4"/>
          <w:sz w:val="20"/>
        </w:rPr>
        <w:t>502.</w:t>
      </w:r>
    </w:p>
    <w:p>
      <w:pPr>
        <w:tabs>
          <w:tab w:pos="4468" w:val="left" w:leader="none"/>
          <w:tab w:pos="7586" w:val="left" w:leader="none"/>
        </w:tabs>
        <w:spacing w:before="221"/>
        <w:ind w:left="433" w:right="0" w:hanging="432"/>
        <w:jc w:val="left"/>
        <w:rPr>
          <w:sz w:val="20"/>
        </w:rPr>
      </w:pPr>
      <w:r>
        <w:rPr>
          <w:color w:val="231F20"/>
          <w:sz w:val="20"/>
        </w:rPr>
        <w:t>Date of Receipt: 26-07-</w:t>
      </w:r>
      <w:r>
        <w:rPr>
          <w:color w:val="231F20"/>
          <w:spacing w:val="-4"/>
          <w:sz w:val="20"/>
        </w:rPr>
        <w:t>2025</w:t>
      </w:r>
      <w:r>
        <w:rPr>
          <w:color w:val="231F20"/>
          <w:sz w:val="20"/>
        </w:rPr>
        <w:tab/>
      </w:r>
      <w:r>
        <w:rPr>
          <w:b/>
          <w:color w:val="231F20"/>
          <w:spacing w:val="-2"/>
          <w:sz w:val="24"/>
        </w:rPr>
        <w:t>ABSTRACT</w:t>
      </w:r>
      <w:r>
        <w:rPr>
          <w:b/>
          <w:color w:val="231F20"/>
          <w:sz w:val="24"/>
        </w:rPr>
        <w:tab/>
      </w:r>
      <w:r>
        <w:rPr>
          <w:color w:val="231F20"/>
          <w:sz w:val="20"/>
        </w:rPr>
        <w:t>Date of Acceptance: 05-01-</w:t>
      </w:r>
      <w:r>
        <w:rPr>
          <w:color w:val="231F20"/>
          <w:spacing w:val="-4"/>
          <w:sz w:val="20"/>
        </w:rPr>
        <w:t>2026</w:t>
      </w:r>
    </w:p>
    <w:p>
      <w:pPr>
        <w:spacing w:line="230" w:lineRule="auto" w:before="189"/>
        <w:ind w:left="1" w:right="139" w:firstLine="432"/>
        <w:jc w:val="both"/>
        <w:rPr>
          <w:sz w:val="20"/>
        </w:rPr>
      </w:pPr>
      <w:r>
        <w:rPr>
          <w:color w:val="231F20"/>
          <w:sz w:val="20"/>
        </w:rPr>
        <w:t>A field experiment was conducted during </w:t>
      </w:r>
      <w:r>
        <w:rPr>
          <w:i/>
          <w:color w:val="231F20"/>
          <w:sz w:val="20"/>
        </w:rPr>
        <w:t>kharif </w:t>
      </w:r>
      <w:r>
        <w:rPr>
          <w:color w:val="231F20"/>
          <w:sz w:val="20"/>
        </w:rPr>
        <w:t>2024 at S.V. Agricultural College, Tirupati, to evaluate the yield and economic benefits of groundnut + millet intercropping systems. The experiment was laid out in randomized block design with ten treatments comprising of three millets </w:t>
      </w:r>
      <w:r>
        <w:rPr>
          <w:i/>
          <w:color w:val="231F20"/>
          <w:sz w:val="20"/>
        </w:rPr>
        <w:t>viz., </w:t>
      </w:r>
      <w:r>
        <w:rPr>
          <w:color w:val="231F20"/>
          <w:sz w:val="20"/>
        </w:rPr>
        <w:t>foxtail millet, finger millet and little millet with groundnut in the replacement series of 5:2 and 5:4 row proportion and their sole crops replicated thrice. Results showed that sole crop of groundnut recorded the highest pod (2295 kg ha⁻¹) and haulm yield (3016 kg ha⁻¹), while groundnut + finger millet (5:2) recorded the highest groundnut pod equivalent yield (2906 kg ha⁻¹) and economic returns (benefit: cost ratio of 2.76). Millet yields in intercropping systems were reduced due to competition, with the 5:4 row ratio yielding higher than the 5:2 ratio. The study concluded that groundnut + finger millet at 5:2 ratio is the most productive and economically viable intercropping system in Southern Agro- climatic zone of Andhra Pradesh.</w:t>
      </w:r>
    </w:p>
    <w:p>
      <w:pPr>
        <w:spacing w:before="205"/>
        <w:ind w:left="5" w:right="0" w:firstLine="0"/>
        <w:jc w:val="left"/>
        <w:rPr>
          <w:sz w:val="20"/>
        </w:rPr>
      </w:pPr>
      <w:r>
        <w:rPr>
          <w:b/>
          <w:color w:val="231F20"/>
          <w:sz w:val="20"/>
        </w:rPr>
        <w:t>KEYWORDS:</w:t>
      </w:r>
      <w:r>
        <w:rPr>
          <w:b/>
          <w:color w:val="231F20"/>
          <w:spacing w:val="10"/>
          <w:sz w:val="20"/>
        </w:rPr>
        <w:t> </w:t>
      </w:r>
      <w:r>
        <w:rPr>
          <w:color w:val="231F20"/>
          <w:sz w:val="20"/>
        </w:rPr>
        <w:t>Groundnut,</w:t>
      </w:r>
      <w:r>
        <w:rPr>
          <w:color w:val="231F20"/>
          <w:spacing w:val="13"/>
          <w:sz w:val="20"/>
        </w:rPr>
        <w:t> </w:t>
      </w:r>
      <w:r>
        <w:rPr>
          <w:color w:val="231F20"/>
          <w:sz w:val="20"/>
        </w:rPr>
        <w:t>foxtail</w:t>
      </w:r>
      <w:r>
        <w:rPr>
          <w:color w:val="231F20"/>
          <w:spacing w:val="13"/>
          <w:sz w:val="20"/>
        </w:rPr>
        <w:t> </w:t>
      </w:r>
      <w:r>
        <w:rPr>
          <w:color w:val="231F20"/>
          <w:sz w:val="20"/>
        </w:rPr>
        <w:t>millet,</w:t>
      </w:r>
      <w:r>
        <w:rPr>
          <w:color w:val="231F20"/>
          <w:spacing w:val="13"/>
          <w:sz w:val="20"/>
        </w:rPr>
        <w:t> </w:t>
      </w:r>
      <w:r>
        <w:rPr>
          <w:color w:val="231F20"/>
          <w:sz w:val="20"/>
        </w:rPr>
        <w:t>finger</w:t>
      </w:r>
      <w:r>
        <w:rPr>
          <w:color w:val="231F20"/>
          <w:spacing w:val="13"/>
          <w:sz w:val="20"/>
        </w:rPr>
        <w:t> </w:t>
      </w:r>
      <w:r>
        <w:rPr>
          <w:color w:val="231F20"/>
          <w:sz w:val="20"/>
        </w:rPr>
        <w:t>millet,</w:t>
      </w:r>
      <w:r>
        <w:rPr>
          <w:color w:val="231F20"/>
          <w:spacing w:val="13"/>
          <w:sz w:val="20"/>
        </w:rPr>
        <w:t> </w:t>
      </w:r>
      <w:r>
        <w:rPr>
          <w:color w:val="231F20"/>
          <w:sz w:val="20"/>
        </w:rPr>
        <w:t>little</w:t>
      </w:r>
      <w:r>
        <w:rPr>
          <w:color w:val="231F20"/>
          <w:spacing w:val="13"/>
          <w:sz w:val="20"/>
        </w:rPr>
        <w:t> </w:t>
      </w:r>
      <w:r>
        <w:rPr>
          <w:color w:val="231F20"/>
          <w:spacing w:val="-2"/>
          <w:sz w:val="20"/>
        </w:rPr>
        <w:t>millet.</w:t>
      </w:r>
    </w:p>
    <w:p>
      <w:pPr>
        <w:pStyle w:val="BodyText"/>
        <w:spacing w:before="10"/>
        <w:ind w:left="0"/>
        <w:jc w:val="left"/>
        <w:rPr>
          <w:sz w:val="8"/>
        </w:rPr>
      </w:pPr>
    </w:p>
    <w:p>
      <w:pPr>
        <w:pStyle w:val="BodyText"/>
        <w:spacing w:after="0"/>
        <w:jc w:val="left"/>
        <w:rPr>
          <w:sz w:val="8"/>
        </w:rPr>
        <w:sectPr>
          <w:footerReference w:type="default" r:id="rId5"/>
          <w:type w:val="continuous"/>
          <w:pgSz w:w="12480" w:h="15880"/>
          <w:pgMar w:header="0" w:footer="988" w:top="980" w:bottom="1180" w:left="1133" w:right="992"/>
          <w:pgNumType w:start="21"/>
        </w:sectPr>
      </w:pPr>
    </w:p>
    <w:p>
      <w:pPr>
        <w:pStyle w:val="Heading1"/>
        <w:spacing w:before="90"/>
        <w:jc w:val="left"/>
      </w:pPr>
      <w:r>
        <w:rPr>
          <w:color w:val="231F20"/>
          <w:spacing w:val="-2"/>
        </w:rPr>
        <w:t>INTRODUCTION</w:t>
      </w:r>
    </w:p>
    <w:p>
      <w:pPr>
        <w:pStyle w:val="BodyText"/>
        <w:spacing w:line="249" w:lineRule="auto" w:before="122"/>
        <w:ind w:firstLine="432"/>
      </w:pPr>
      <w:r>
        <w:rPr>
          <w:color w:val="231F20"/>
        </w:rPr>
        <w:t>In the present day scenario, the greatest </w:t>
      </w:r>
      <w:r>
        <w:rPr>
          <w:color w:val="231F20"/>
        </w:rPr>
        <w:t>challenge is</w:t>
      </w:r>
      <w:r>
        <w:rPr>
          <w:color w:val="231F20"/>
          <w:spacing w:val="-4"/>
        </w:rPr>
        <w:t> </w:t>
      </w:r>
      <w:r>
        <w:rPr>
          <w:color w:val="231F20"/>
        </w:rPr>
        <w:t>to</w:t>
      </w:r>
      <w:r>
        <w:rPr>
          <w:color w:val="231F20"/>
          <w:spacing w:val="-4"/>
        </w:rPr>
        <w:t> </w:t>
      </w:r>
      <w:r>
        <w:rPr>
          <w:color w:val="231F20"/>
        </w:rPr>
        <w:t>meet</w:t>
      </w:r>
      <w:r>
        <w:rPr>
          <w:color w:val="231F20"/>
          <w:spacing w:val="-4"/>
        </w:rPr>
        <w:t> </w:t>
      </w:r>
      <w:r>
        <w:rPr>
          <w:color w:val="231F20"/>
        </w:rPr>
        <w:t>the</w:t>
      </w:r>
      <w:r>
        <w:rPr>
          <w:color w:val="231F20"/>
          <w:spacing w:val="-4"/>
        </w:rPr>
        <w:t> </w:t>
      </w:r>
      <w:r>
        <w:rPr>
          <w:color w:val="231F20"/>
        </w:rPr>
        <w:t>basic</w:t>
      </w:r>
      <w:r>
        <w:rPr>
          <w:color w:val="231F20"/>
          <w:spacing w:val="-4"/>
        </w:rPr>
        <w:t> </w:t>
      </w:r>
      <w:r>
        <w:rPr>
          <w:color w:val="231F20"/>
        </w:rPr>
        <w:t>needs,</w:t>
      </w:r>
      <w:r>
        <w:rPr>
          <w:color w:val="231F20"/>
          <w:spacing w:val="-4"/>
        </w:rPr>
        <w:t> </w:t>
      </w:r>
      <w:r>
        <w:rPr>
          <w:color w:val="231F20"/>
        </w:rPr>
        <w:t>such</w:t>
      </w:r>
      <w:r>
        <w:rPr>
          <w:color w:val="231F20"/>
          <w:spacing w:val="-4"/>
        </w:rPr>
        <w:t> </w:t>
      </w:r>
      <w:r>
        <w:rPr>
          <w:color w:val="231F20"/>
        </w:rPr>
        <w:t>as</w:t>
      </w:r>
      <w:r>
        <w:rPr>
          <w:color w:val="231F20"/>
          <w:spacing w:val="-4"/>
        </w:rPr>
        <w:t> </w:t>
      </w:r>
      <w:r>
        <w:rPr>
          <w:color w:val="231F20"/>
        </w:rPr>
        <w:t>food,</w:t>
      </w:r>
      <w:r>
        <w:rPr>
          <w:color w:val="231F20"/>
          <w:spacing w:val="-4"/>
        </w:rPr>
        <w:t> </w:t>
      </w:r>
      <w:r>
        <w:rPr>
          <w:color w:val="231F20"/>
        </w:rPr>
        <w:t>fodder,</w:t>
      </w:r>
      <w:r>
        <w:rPr>
          <w:color w:val="231F20"/>
          <w:spacing w:val="-4"/>
        </w:rPr>
        <w:t> </w:t>
      </w:r>
      <w:r>
        <w:rPr>
          <w:color w:val="231F20"/>
        </w:rPr>
        <w:t>fuel</w:t>
      </w:r>
      <w:r>
        <w:rPr>
          <w:color w:val="231F20"/>
          <w:spacing w:val="-4"/>
        </w:rPr>
        <w:t> </w:t>
      </w:r>
      <w:r>
        <w:rPr>
          <w:color w:val="231F20"/>
        </w:rPr>
        <w:t>and </w:t>
      </w:r>
      <w:r>
        <w:rPr>
          <w:color w:val="231F20"/>
          <w:spacing w:val="-4"/>
        </w:rPr>
        <w:t>fiber for the ever growing human and livestock population </w:t>
      </w:r>
      <w:r>
        <w:rPr>
          <w:color w:val="231F20"/>
        </w:rPr>
        <w:t>from the available land area. Agricultural production</w:t>
      </w:r>
      <w:r>
        <w:rPr>
          <w:color w:val="231F20"/>
          <w:spacing w:val="40"/>
        </w:rPr>
        <w:t> </w:t>
      </w:r>
      <w:r>
        <w:rPr>
          <w:color w:val="231F20"/>
        </w:rPr>
        <w:t>has to be increased to meet the expected demands for the world’s fast growing population. However, this increase must come from the existing cultivated land,</w:t>
      </w:r>
      <w:r>
        <w:rPr>
          <w:color w:val="231F20"/>
          <w:spacing w:val="80"/>
        </w:rPr>
        <w:t> </w:t>
      </w:r>
      <w:r>
        <w:rPr>
          <w:color w:val="231F20"/>
        </w:rPr>
        <w:t>as expansion opportunities are limited due to factors such as the conversion of farmland for non-agricultural uses, climate change and the decreasing availability of land for</w:t>
      </w:r>
      <w:r>
        <w:rPr>
          <w:color w:val="231F20"/>
          <w:spacing w:val="40"/>
        </w:rPr>
        <w:t> </w:t>
      </w:r>
      <w:r>
        <w:rPr>
          <w:color w:val="231F20"/>
        </w:rPr>
        <w:t>extensive agriculture. Given these constraints, the most viable solution lies in maximizing the use of time</w:t>
      </w:r>
      <w:r>
        <w:rPr>
          <w:color w:val="231F20"/>
          <w:spacing w:val="-7"/>
        </w:rPr>
        <w:t> </w:t>
      </w:r>
      <w:r>
        <w:rPr>
          <w:color w:val="231F20"/>
        </w:rPr>
        <w:t>and</w:t>
      </w:r>
      <w:r>
        <w:rPr>
          <w:color w:val="231F20"/>
          <w:spacing w:val="-7"/>
        </w:rPr>
        <w:t> </w:t>
      </w:r>
      <w:r>
        <w:rPr>
          <w:color w:val="231F20"/>
        </w:rPr>
        <w:t>space</w:t>
      </w:r>
      <w:r>
        <w:rPr>
          <w:color w:val="231F20"/>
          <w:spacing w:val="-7"/>
        </w:rPr>
        <w:t> </w:t>
      </w:r>
      <w:r>
        <w:rPr>
          <w:color w:val="231F20"/>
        </w:rPr>
        <w:t>in</w:t>
      </w:r>
      <w:r>
        <w:rPr>
          <w:color w:val="231F20"/>
          <w:spacing w:val="-7"/>
        </w:rPr>
        <w:t> </w:t>
      </w:r>
      <w:r>
        <w:rPr>
          <w:color w:val="231F20"/>
        </w:rPr>
        <w:t>agriculture</w:t>
      </w:r>
      <w:r>
        <w:rPr>
          <w:color w:val="231F20"/>
          <w:spacing w:val="-7"/>
        </w:rPr>
        <w:t> </w:t>
      </w:r>
      <w:r>
        <w:rPr>
          <w:color w:val="231F20"/>
        </w:rPr>
        <w:t>through</w:t>
      </w:r>
      <w:r>
        <w:rPr>
          <w:color w:val="231F20"/>
          <w:spacing w:val="-7"/>
        </w:rPr>
        <w:t> </w:t>
      </w:r>
      <w:r>
        <w:rPr>
          <w:color w:val="231F20"/>
        </w:rPr>
        <w:t>intensification</w:t>
      </w:r>
      <w:r>
        <w:rPr>
          <w:color w:val="231F20"/>
          <w:spacing w:val="-7"/>
        </w:rPr>
        <w:t> </w:t>
      </w:r>
      <w:r>
        <w:rPr>
          <w:color w:val="231F20"/>
        </w:rPr>
        <w:t>and diversification</w:t>
      </w:r>
      <w:r>
        <w:rPr>
          <w:color w:val="231F20"/>
          <w:spacing w:val="-14"/>
        </w:rPr>
        <w:t> </w:t>
      </w:r>
      <w:r>
        <w:rPr>
          <w:color w:val="231F20"/>
        </w:rPr>
        <w:t>strategies.</w:t>
      </w:r>
      <w:r>
        <w:rPr>
          <w:color w:val="231F20"/>
          <w:spacing w:val="-14"/>
        </w:rPr>
        <w:t> </w:t>
      </w:r>
      <w:r>
        <w:rPr>
          <w:color w:val="231F20"/>
        </w:rPr>
        <w:t>These</w:t>
      </w:r>
      <w:r>
        <w:rPr>
          <w:color w:val="231F20"/>
          <w:spacing w:val="-14"/>
        </w:rPr>
        <w:t> </w:t>
      </w:r>
      <w:r>
        <w:rPr>
          <w:color w:val="231F20"/>
        </w:rPr>
        <w:t>include</w:t>
      </w:r>
      <w:r>
        <w:rPr>
          <w:color w:val="231F20"/>
          <w:spacing w:val="-13"/>
        </w:rPr>
        <w:t> </w:t>
      </w:r>
      <w:r>
        <w:rPr>
          <w:color w:val="231F20"/>
        </w:rPr>
        <w:t>practices</w:t>
      </w:r>
      <w:r>
        <w:rPr>
          <w:color w:val="231F20"/>
          <w:spacing w:val="-14"/>
        </w:rPr>
        <w:t> </w:t>
      </w:r>
      <w:r>
        <w:rPr>
          <w:color w:val="231F20"/>
        </w:rPr>
        <w:t>such</w:t>
      </w:r>
      <w:r>
        <w:rPr>
          <w:color w:val="231F20"/>
          <w:spacing w:val="-14"/>
        </w:rPr>
        <w:t> </w:t>
      </w:r>
      <w:r>
        <w:rPr>
          <w:color w:val="231F20"/>
        </w:rPr>
        <w:t>as relay</w:t>
      </w:r>
      <w:r>
        <w:rPr>
          <w:color w:val="231F20"/>
          <w:spacing w:val="-3"/>
        </w:rPr>
        <w:t> </w:t>
      </w:r>
      <w:r>
        <w:rPr>
          <w:color w:val="231F20"/>
        </w:rPr>
        <w:t>cropping,</w:t>
      </w:r>
      <w:r>
        <w:rPr>
          <w:color w:val="231F20"/>
          <w:spacing w:val="-3"/>
        </w:rPr>
        <w:t> </w:t>
      </w:r>
      <w:r>
        <w:rPr>
          <w:color w:val="231F20"/>
        </w:rPr>
        <w:t>crop</w:t>
      </w:r>
      <w:r>
        <w:rPr>
          <w:color w:val="231F20"/>
          <w:spacing w:val="-3"/>
        </w:rPr>
        <w:t> </w:t>
      </w:r>
      <w:r>
        <w:rPr>
          <w:color w:val="231F20"/>
        </w:rPr>
        <w:t>rotation</w:t>
      </w:r>
      <w:r>
        <w:rPr>
          <w:color w:val="231F20"/>
          <w:spacing w:val="-3"/>
        </w:rPr>
        <w:t> </w:t>
      </w:r>
      <w:r>
        <w:rPr>
          <w:color w:val="231F20"/>
        </w:rPr>
        <w:t>and</w:t>
      </w:r>
      <w:r>
        <w:rPr>
          <w:color w:val="231F20"/>
          <w:spacing w:val="-3"/>
        </w:rPr>
        <w:t> </w:t>
      </w:r>
      <w:r>
        <w:rPr>
          <w:color w:val="231F20"/>
        </w:rPr>
        <w:t>intercropping</w:t>
      </w:r>
      <w:r>
        <w:rPr>
          <w:color w:val="231F20"/>
          <w:spacing w:val="-3"/>
        </w:rPr>
        <w:t> </w:t>
      </w:r>
      <w:r>
        <w:rPr>
          <w:color w:val="231F20"/>
        </w:rPr>
        <w:t>of</w:t>
      </w:r>
      <w:r>
        <w:rPr>
          <w:color w:val="231F20"/>
          <w:spacing w:val="-3"/>
        </w:rPr>
        <w:t> </w:t>
      </w:r>
      <w:r>
        <w:rPr>
          <w:color w:val="231F20"/>
        </w:rPr>
        <w:t>major crops</w:t>
      </w:r>
      <w:r>
        <w:rPr>
          <w:color w:val="231F20"/>
          <w:spacing w:val="-11"/>
        </w:rPr>
        <w:t> </w:t>
      </w:r>
      <w:r>
        <w:rPr>
          <w:color w:val="231F20"/>
        </w:rPr>
        <w:t>with</w:t>
      </w:r>
      <w:r>
        <w:rPr>
          <w:color w:val="231F20"/>
          <w:spacing w:val="-11"/>
        </w:rPr>
        <w:t> </w:t>
      </w:r>
      <w:r>
        <w:rPr>
          <w:color w:val="231F20"/>
        </w:rPr>
        <w:t>compatible</w:t>
      </w:r>
      <w:r>
        <w:rPr>
          <w:color w:val="231F20"/>
          <w:spacing w:val="-11"/>
        </w:rPr>
        <w:t> </w:t>
      </w:r>
      <w:r>
        <w:rPr>
          <w:color w:val="231F20"/>
        </w:rPr>
        <w:t>species.</w:t>
      </w:r>
      <w:r>
        <w:rPr>
          <w:color w:val="231F20"/>
          <w:spacing w:val="-11"/>
        </w:rPr>
        <w:t> </w:t>
      </w:r>
      <w:r>
        <w:rPr>
          <w:color w:val="231F20"/>
        </w:rPr>
        <w:t>Nevertheless,</w:t>
      </w:r>
      <w:r>
        <w:rPr>
          <w:color w:val="231F20"/>
          <w:spacing w:val="-11"/>
        </w:rPr>
        <w:t> </w:t>
      </w:r>
      <w:r>
        <w:rPr>
          <w:color w:val="231F20"/>
        </w:rPr>
        <w:t>the</w:t>
      </w:r>
      <w:r>
        <w:rPr>
          <w:color w:val="231F20"/>
          <w:spacing w:val="-11"/>
        </w:rPr>
        <w:t> </w:t>
      </w:r>
      <w:r>
        <w:rPr>
          <w:color w:val="231F20"/>
        </w:rPr>
        <w:t>success of intercropping depends on several factors, including seeding ratios, planting patterns, crop varieties, and the level of competition among component crops.</w:t>
      </w:r>
    </w:p>
    <w:p>
      <w:pPr>
        <w:pStyle w:val="BodyText"/>
        <w:spacing w:line="249" w:lineRule="auto" w:before="133"/>
        <w:ind w:firstLine="432"/>
      </w:pPr>
      <w:r>
        <w:rPr>
          <w:color w:val="231F20"/>
        </w:rPr>
        <w:t>Intercropping mitigates agricultural risks by cultivating two or more crops simultaneously or </w:t>
      </w:r>
      <w:r>
        <w:rPr>
          <w:color w:val="231F20"/>
        </w:rPr>
        <w:t>within the same season in a single field, optimizing resource use compared to monocropping. The effectiveness of intercropping hinges on the choice of intercrops and their spatial arrangement, which influence productivity, competition,</w:t>
      </w:r>
      <w:r>
        <w:rPr>
          <w:color w:val="231F20"/>
          <w:spacing w:val="26"/>
        </w:rPr>
        <w:t>  </w:t>
      </w:r>
      <w:r>
        <w:rPr>
          <w:color w:val="231F20"/>
        </w:rPr>
        <w:t>and</w:t>
      </w:r>
      <w:r>
        <w:rPr>
          <w:color w:val="231F20"/>
          <w:spacing w:val="29"/>
        </w:rPr>
        <w:t>  </w:t>
      </w:r>
      <w:r>
        <w:rPr>
          <w:color w:val="231F20"/>
        </w:rPr>
        <w:t>nutrient</w:t>
      </w:r>
      <w:r>
        <w:rPr>
          <w:color w:val="231F20"/>
          <w:spacing w:val="28"/>
        </w:rPr>
        <w:t>  </w:t>
      </w:r>
      <w:r>
        <w:rPr>
          <w:color w:val="231F20"/>
        </w:rPr>
        <w:t>absorption.</w:t>
      </w:r>
      <w:r>
        <w:rPr>
          <w:color w:val="231F20"/>
          <w:spacing w:val="29"/>
        </w:rPr>
        <w:t>  </w:t>
      </w:r>
      <w:r>
        <w:rPr>
          <w:color w:val="231F20"/>
          <w:spacing w:val="-2"/>
        </w:rPr>
        <w:t>Intercropping</w:t>
      </w:r>
    </w:p>
    <w:p>
      <w:pPr>
        <w:pStyle w:val="BodyText"/>
        <w:spacing w:line="249" w:lineRule="auto" w:before="99"/>
        <w:ind w:right="140"/>
      </w:pPr>
      <w:r>
        <w:rPr/>
        <w:br w:type="column"/>
      </w:r>
      <w:r>
        <w:rPr>
          <w:color w:val="231F20"/>
        </w:rPr>
        <w:t>groundnut with fast growing, short duration crops like millets is a viable system that maximizes land, solar energy,</w:t>
      </w:r>
      <w:r>
        <w:rPr>
          <w:color w:val="231F20"/>
          <w:spacing w:val="-14"/>
        </w:rPr>
        <w:t> </w:t>
      </w:r>
      <w:r>
        <w:rPr>
          <w:color w:val="231F20"/>
        </w:rPr>
        <w:t>and</w:t>
      </w:r>
      <w:r>
        <w:rPr>
          <w:color w:val="231F20"/>
          <w:spacing w:val="-14"/>
        </w:rPr>
        <w:t> </w:t>
      </w:r>
      <w:r>
        <w:rPr>
          <w:color w:val="231F20"/>
        </w:rPr>
        <w:t>water</w:t>
      </w:r>
      <w:r>
        <w:rPr>
          <w:color w:val="231F20"/>
          <w:spacing w:val="-14"/>
        </w:rPr>
        <w:t> </w:t>
      </w:r>
      <w:r>
        <w:rPr>
          <w:color w:val="231F20"/>
        </w:rPr>
        <w:t>use,</w:t>
      </w:r>
      <w:r>
        <w:rPr>
          <w:color w:val="231F20"/>
          <w:spacing w:val="-13"/>
        </w:rPr>
        <w:t> </w:t>
      </w:r>
      <w:r>
        <w:rPr>
          <w:color w:val="231F20"/>
        </w:rPr>
        <w:t>ensuring</w:t>
      </w:r>
      <w:r>
        <w:rPr>
          <w:color w:val="231F20"/>
          <w:spacing w:val="-14"/>
        </w:rPr>
        <w:t> </w:t>
      </w:r>
      <w:r>
        <w:rPr>
          <w:color w:val="231F20"/>
        </w:rPr>
        <w:t>profitability</w:t>
      </w:r>
      <w:r>
        <w:rPr>
          <w:color w:val="231F20"/>
          <w:spacing w:val="-14"/>
        </w:rPr>
        <w:t> </w:t>
      </w:r>
      <w:r>
        <w:rPr>
          <w:color w:val="231F20"/>
        </w:rPr>
        <w:t>and</w:t>
      </w:r>
      <w:r>
        <w:rPr>
          <w:color w:val="231F20"/>
          <w:spacing w:val="-14"/>
        </w:rPr>
        <w:t> </w:t>
      </w:r>
      <w:r>
        <w:rPr>
          <w:color w:val="231F20"/>
        </w:rPr>
        <w:t>stability while reducing crop failure risks. Legumes, with their deep root systems, access moisture and nutrients from deeper soil layers, avoiding competition with paired cereals.</w:t>
      </w:r>
      <w:r>
        <w:rPr>
          <w:color w:val="231F20"/>
          <w:spacing w:val="-7"/>
        </w:rPr>
        <w:t> </w:t>
      </w:r>
      <w:r>
        <w:rPr>
          <w:color w:val="231F20"/>
        </w:rPr>
        <w:t>Additionally, groundnut fix nitrogen in the soil, sharing</w:t>
      </w:r>
      <w:r>
        <w:rPr>
          <w:color w:val="231F20"/>
          <w:spacing w:val="-11"/>
        </w:rPr>
        <w:t> </w:t>
      </w:r>
      <w:r>
        <w:rPr>
          <w:color w:val="231F20"/>
        </w:rPr>
        <w:t>some</w:t>
      </w:r>
      <w:r>
        <w:rPr>
          <w:color w:val="231F20"/>
          <w:spacing w:val="-11"/>
        </w:rPr>
        <w:t> </w:t>
      </w:r>
      <w:r>
        <w:rPr>
          <w:color w:val="231F20"/>
        </w:rPr>
        <w:t>with</w:t>
      </w:r>
      <w:r>
        <w:rPr>
          <w:color w:val="231F20"/>
          <w:spacing w:val="-11"/>
        </w:rPr>
        <w:t> </w:t>
      </w:r>
      <w:r>
        <w:rPr>
          <w:color w:val="231F20"/>
        </w:rPr>
        <w:t>intercropped</w:t>
      </w:r>
      <w:r>
        <w:rPr>
          <w:color w:val="231F20"/>
          <w:spacing w:val="-11"/>
        </w:rPr>
        <w:t> </w:t>
      </w:r>
      <w:r>
        <w:rPr>
          <w:color w:val="231F20"/>
        </w:rPr>
        <w:t>cereals,</w:t>
      </w:r>
      <w:r>
        <w:rPr>
          <w:color w:val="231F20"/>
          <w:spacing w:val="-11"/>
        </w:rPr>
        <w:t> </w:t>
      </w:r>
      <w:r>
        <w:rPr>
          <w:color w:val="231F20"/>
        </w:rPr>
        <w:t>boosting</w:t>
      </w:r>
      <w:r>
        <w:rPr>
          <w:color w:val="231F20"/>
          <w:spacing w:val="-11"/>
        </w:rPr>
        <w:t> </w:t>
      </w:r>
      <w:r>
        <w:rPr>
          <w:color w:val="231F20"/>
        </w:rPr>
        <w:t>growth even</w:t>
      </w:r>
      <w:r>
        <w:rPr>
          <w:color w:val="231F20"/>
          <w:spacing w:val="40"/>
        </w:rPr>
        <w:t> </w:t>
      </w:r>
      <w:r>
        <w:rPr>
          <w:color w:val="231F20"/>
        </w:rPr>
        <w:t>in</w:t>
      </w:r>
      <w:r>
        <w:rPr>
          <w:color w:val="231F20"/>
          <w:spacing w:val="40"/>
        </w:rPr>
        <w:t> </w:t>
      </w:r>
      <w:r>
        <w:rPr>
          <w:color w:val="231F20"/>
        </w:rPr>
        <w:t>nitrogen</w:t>
      </w:r>
      <w:r>
        <w:rPr>
          <w:color w:val="231F20"/>
          <w:spacing w:val="40"/>
        </w:rPr>
        <w:t> </w:t>
      </w:r>
      <w:r>
        <w:rPr>
          <w:color w:val="231F20"/>
        </w:rPr>
        <w:t>poor</w:t>
      </w:r>
      <w:r>
        <w:rPr>
          <w:color w:val="231F20"/>
          <w:spacing w:val="40"/>
        </w:rPr>
        <w:t> </w:t>
      </w:r>
      <w:r>
        <w:rPr>
          <w:color w:val="231F20"/>
        </w:rPr>
        <w:t>soils.</w:t>
      </w:r>
      <w:r>
        <w:rPr>
          <w:color w:val="231F20"/>
          <w:spacing w:val="40"/>
        </w:rPr>
        <w:t> </w:t>
      </w:r>
      <w:r>
        <w:rPr>
          <w:color w:val="231F20"/>
        </w:rPr>
        <w:t>Keeping</w:t>
      </w:r>
      <w:r>
        <w:rPr>
          <w:color w:val="231F20"/>
          <w:spacing w:val="40"/>
        </w:rPr>
        <w:t> </w:t>
      </w:r>
      <w:r>
        <w:rPr>
          <w:color w:val="231F20"/>
        </w:rPr>
        <w:t>the</w:t>
      </w:r>
      <w:r>
        <w:rPr>
          <w:color w:val="231F20"/>
          <w:spacing w:val="40"/>
        </w:rPr>
        <w:t> </w:t>
      </w:r>
      <w:r>
        <w:rPr>
          <w:color w:val="231F20"/>
        </w:rPr>
        <w:t>above</w:t>
      </w:r>
      <w:r>
        <w:rPr>
          <w:color w:val="231F20"/>
          <w:spacing w:val="40"/>
        </w:rPr>
        <w:t> </w:t>
      </w:r>
      <w:r>
        <w:rPr>
          <w:color w:val="231F20"/>
        </w:rPr>
        <w:t>facts in view, the present study was conducted to evaluate</w:t>
      </w:r>
      <w:r>
        <w:rPr>
          <w:color w:val="231F20"/>
          <w:spacing w:val="80"/>
        </w:rPr>
        <w:t> </w:t>
      </w:r>
      <w:r>
        <w:rPr>
          <w:color w:val="231F20"/>
        </w:rPr>
        <w:t>the yield and economic benefits of groundnut + millet intercropping</w:t>
      </w:r>
      <w:r>
        <w:rPr>
          <w:color w:val="231F20"/>
          <w:spacing w:val="-14"/>
        </w:rPr>
        <w:t> </w:t>
      </w:r>
      <w:r>
        <w:rPr>
          <w:color w:val="231F20"/>
        </w:rPr>
        <w:t>system</w:t>
      </w:r>
      <w:r>
        <w:rPr>
          <w:color w:val="231F20"/>
          <w:spacing w:val="-14"/>
        </w:rPr>
        <w:t> </w:t>
      </w:r>
      <w:r>
        <w:rPr>
          <w:color w:val="231F20"/>
        </w:rPr>
        <w:t>in</w:t>
      </w:r>
      <w:r>
        <w:rPr>
          <w:color w:val="231F20"/>
          <w:spacing w:val="-14"/>
        </w:rPr>
        <w:t> </w:t>
      </w:r>
      <w:r>
        <w:rPr>
          <w:color w:val="231F20"/>
        </w:rPr>
        <w:t>the</w:t>
      </w:r>
      <w:r>
        <w:rPr>
          <w:color w:val="231F20"/>
          <w:spacing w:val="-12"/>
        </w:rPr>
        <w:t> </w:t>
      </w:r>
      <w:r>
        <w:rPr>
          <w:color w:val="231F20"/>
        </w:rPr>
        <w:t>Southern</w:t>
      </w:r>
      <w:r>
        <w:rPr>
          <w:color w:val="231F20"/>
          <w:spacing w:val="-14"/>
        </w:rPr>
        <w:t> </w:t>
      </w:r>
      <w:r>
        <w:rPr>
          <w:color w:val="231F20"/>
        </w:rPr>
        <w:t>Agro-climatic</w:t>
      </w:r>
      <w:r>
        <w:rPr>
          <w:color w:val="231F20"/>
          <w:spacing w:val="-12"/>
        </w:rPr>
        <w:t> </w:t>
      </w:r>
      <w:r>
        <w:rPr>
          <w:color w:val="231F20"/>
        </w:rPr>
        <w:t>zone of Andhra Pradesh.</w:t>
      </w:r>
    </w:p>
    <w:p>
      <w:pPr>
        <w:pStyle w:val="Heading2"/>
        <w:spacing w:before="127"/>
        <w:jc w:val="both"/>
      </w:pPr>
      <w:r>
        <w:rPr>
          <w:color w:val="231F20"/>
          <w:spacing w:val="-2"/>
        </w:rPr>
        <w:t>MATERIAL</w:t>
      </w:r>
      <w:r>
        <w:rPr>
          <w:color w:val="231F20"/>
          <w:spacing w:val="-25"/>
        </w:rPr>
        <w:t> </w:t>
      </w:r>
      <w:r>
        <w:rPr>
          <w:color w:val="231F20"/>
          <w:spacing w:val="-2"/>
        </w:rPr>
        <w:t>AND</w:t>
      </w:r>
      <w:r>
        <w:rPr>
          <w:color w:val="231F20"/>
          <w:spacing w:val="2"/>
        </w:rPr>
        <w:t> </w:t>
      </w:r>
      <w:r>
        <w:rPr>
          <w:color w:val="231F20"/>
          <w:spacing w:val="-2"/>
        </w:rPr>
        <w:t>METHODS</w:t>
      </w:r>
    </w:p>
    <w:p>
      <w:pPr>
        <w:pStyle w:val="BodyText"/>
        <w:spacing w:line="249" w:lineRule="auto" w:before="126"/>
        <w:ind w:right="140" w:firstLine="432"/>
      </w:pPr>
      <w:r>
        <w:rPr>
          <w:color w:val="231F20"/>
        </w:rPr>
        <w:t>A field experiment was conducted at S. V. Agricultural</w:t>
      </w:r>
      <w:r>
        <w:rPr>
          <w:color w:val="231F20"/>
          <w:spacing w:val="40"/>
        </w:rPr>
        <w:t> </w:t>
      </w:r>
      <w:r>
        <w:rPr>
          <w:color w:val="231F20"/>
        </w:rPr>
        <w:t>College</w:t>
      </w:r>
      <w:r>
        <w:rPr>
          <w:color w:val="231F20"/>
          <w:spacing w:val="40"/>
        </w:rPr>
        <w:t> </w:t>
      </w:r>
      <w:r>
        <w:rPr>
          <w:color w:val="231F20"/>
        </w:rPr>
        <w:t>Dryland</w:t>
      </w:r>
      <w:r>
        <w:rPr>
          <w:color w:val="231F20"/>
          <w:spacing w:val="40"/>
        </w:rPr>
        <w:t> </w:t>
      </w:r>
      <w:r>
        <w:rPr>
          <w:color w:val="231F20"/>
        </w:rPr>
        <w:t>farm,</w:t>
      </w:r>
      <w:r>
        <w:rPr>
          <w:color w:val="231F20"/>
          <w:spacing w:val="40"/>
        </w:rPr>
        <w:t> </w:t>
      </w:r>
      <w:r>
        <w:rPr>
          <w:color w:val="231F20"/>
        </w:rPr>
        <w:t>Tirupati</w:t>
      </w:r>
      <w:r>
        <w:rPr>
          <w:color w:val="231F20"/>
          <w:spacing w:val="40"/>
        </w:rPr>
        <w:t> </w:t>
      </w:r>
      <w:r>
        <w:rPr>
          <w:color w:val="231F20"/>
        </w:rPr>
        <w:t>campus of Acharya N. G. Ranga Agricultural </w:t>
      </w:r>
      <w:r>
        <w:rPr>
          <w:color w:val="231F20"/>
        </w:rPr>
        <w:t>University,</w:t>
      </w:r>
      <w:r>
        <w:rPr>
          <w:color w:val="231F20"/>
          <w:spacing w:val="80"/>
        </w:rPr>
        <w:t> </w:t>
      </w:r>
      <w:r>
        <w:rPr>
          <w:color w:val="231F20"/>
        </w:rPr>
        <w:t>during</w:t>
      </w:r>
      <w:r>
        <w:rPr>
          <w:color w:val="231F20"/>
          <w:spacing w:val="35"/>
        </w:rPr>
        <w:t> </w:t>
      </w:r>
      <w:r>
        <w:rPr>
          <w:i/>
          <w:color w:val="231F20"/>
        </w:rPr>
        <w:t>kharif,</w:t>
      </w:r>
      <w:r>
        <w:rPr>
          <w:i/>
          <w:color w:val="231F20"/>
          <w:spacing w:val="35"/>
        </w:rPr>
        <w:t> </w:t>
      </w:r>
      <w:r>
        <w:rPr>
          <w:color w:val="231F20"/>
        </w:rPr>
        <w:t>2024</w:t>
      </w:r>
      <w:r>
        <w:rPr>
          <w:color w:val="231F20"/>
          <w:spacing w:val="35"/>
        </w:rPr>
        <w:t> </w:t>
      </w:r>
      <w:r>
        <w:rPr>
          <w:color w:val="231F20"/>
        </w:rPr>
        <w:t>to</w:t>
      </w:r>
      <w:r>
        <w:rPr>
          <w:color w:val="231F20"/>
          <w:spacing w:val="35"/>
        </w:rPr>
        <w:t> </w:t>
      </w:r>
      <w:r>
        <w:rPr>
          <w:color w:val="231F20"/>
        </w:rPr>
        <w:t>study</w:t>
      </w:r>
      <w:r>
        <w:rPr>
          <w:color w:val="231F20"/>
          <w:spacing w:val="35"/>
        </w:rPr>
        <w:t> </w:t>
      </w:r>
      <w:r>
        <w:rPr>
          <w:color w:val="231F20"/>
        </w:rPr>
        <w:t>the</w:t>
      </w:r>
      <w:r>
        <w:rPr>
          <w:color w:val="231F20"/>
          <w:spacing w:val="35"/>
        </w:rPr>
        <w:t> </w:t>
      </w:r>
      <w:r>
        <w:rPr>
          <w:color w:val="231F20"/>
        </w:rPr>
        <w:t>yield</w:t>
      </w:r>
      <w:r>
        <w:rPr>
          <w:color w:val="231F20"/>
          <w:spacing w:val="35"/>
        </w:rPr>
        <w:t> </w:t>
      </w:r>
      <w:r>
        <w:rPr>
          <w:color w:val="231F20"/>
        </w:rPr>
        <w:t>and</w:t>
      </w:r>
      <w:r>
        <w:rPr>
          <w:color w:val="231F20"/>
          <w:spacing w:val="35"/>
        </w:rPr>
        <w:t> </w:t>
      </w:r>
      <w:r>
        <w:rPr>
          <w:color w:val="231F20"/>
        </w:rPr>
        <w:t>economics of groundnut + millets intercropping system. The experimental site was loamy sand with soil pH (6.72), organic</w:t>
      </w:r>
      <w:r>
        <w:rPr>
          <w:color w:val="231F20"/>
          <w:spacing w:val="40"/>
        </w:rPr>
        <w:t> </w:t>
      </w:r>
      <w:r>
        <w:rPr>
          <w:color w:val="231F20"/>
        </w:rPr>
        <w:t>carbon</w:t>
      </w:r>
      <w:r>
        <w:rPr>
          <w:color w:val="231F20"/>
          <w:spacing w:val="40"/>
        </w:rPr>
        <w:t> </w:t>
      </w:r>
      <w:r>
        <w:rPr>
          <w:color w:val="231F20"/>
        </w:rPr>
        <w:t>(0.28</w:t>
      </w:r>
      <w:r>
        <w:rPr>
          <w:color w:val="231F20"/>
          <w:spacing w:val="40"/>
        </w:rPr>
        <w:t> </w:t>
      </w:r>
      <w:r>
        <w:rPr>
          <w:color w:val="231F20"/>
        </w:rPr>
        <w:t>%),</w:t>
      </w:r>
      <w:r>
        <w:rPr>
          <w:color w:val="231F20"/>
          <w:spacing w:val="40"/>
        </w:rPr>
        <w:t> </w:t>
      </w:r>
      <w:r>
        <w:rPr>
          <w:color w:val="231F20"/>
        </w:rPr>
        <w:t>available</w:t>
      </w:r>
      <w:r>
        <w:rPr>
          <w:color w:val="231F20"/>
          <w:spacing w:val="40"/>
        </w:rPr>
        <w:t> </w:t>
      </w:r>
      <w:r>
        <w:rPr>
          <w:color w:val="231F20"/>
        </w:rPr>
        <w:t>nitrogen</w:t>
      </w:r>
      <w:r>
        <w:rPr>
          <w:color w:val="231F20"/>
          <w:spacing w:val="40"/>
        </w:rPr>
        <w:t> </w:t>
      </w:r>
      <w:r>
        <w:rPr>
          <w:color w:val="231F20"/>
        </w:rPr>
        <w:t>(183</w:t>
      </w:r>
      <w:r>
        <w:rPr>
          <w:color w:val="231F20"/>
          <w:spacing w:val="40"/>
        </w:rPr>
        <w:t> </w:t>
      </w:r>
      <w:r>
        <w:rPr>
          <w:color w:val="231F20"/>
        </w:rPr>
        <w:t>kg 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), available phosphorus (28 kg 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 and available potassium (187 kg 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).</w:t>
      </w:r>
      <w:r>
        <w:rPr>
          <w:color w:val="231F20"/>
          <w:spacing w:val="-2"/>
        </w:rPr>
        <w:t> </w:t>
      </w:r>
      <w:r>
        <w:rPr>
          <w:color w:val="231F20"/>
        </w:rPr>
        <w:t>The experiment was laid out in randomized block design comprising of three intercrops </w:t>
      </w:r>
      <w:r>
        <w:rPr>
          <w:i/>
          <w:color w:val="231F20"/>
        </w:rPr>
        <w:t>viz.,</w:t>
      </w:r>
      <w:r>
        <w:rPr>
          <w:i/>
          <w:color w:val="231F20"/>
          <w:spacing w:val="-14"/>
        </w:rPr>
        <w:t> </w:t>
      </w:r>
      <w:r>
        <w:rPr>
          <w:color w:val="231F20"/>
        </w:rPr>
        <w:t>foxtail</w:t>
      </w:r>
      <w:r>
        <w:rPr>
          <w:color w:val="231F20"/>
          <w:spacing w:val="-13"/>
        </w:rPr>
        <w:t> </w:t>
      </w:r>
      <w:r>
        <w:rPr>
          <w:color w:val="231F20"/>
        </w:rPr>
        <w:t>millet</w:t>
      </w:r>
      <w:r>
        <w:rPr>
          <w:color w:val="231F20"/>
          <w:spacing w:val="-14"/>
        </w:rPr>
        <w:t> </w:t>
      </w:r>
      <w:r>
        <w:rPr>
          <w:color w:val="231F20"/>
        </w:rPr>
        <w:t>(SiA-3159),</w:t>
      </w:r>
      <w:r>
        <w:rPr>
          <w:color w:val="231F20"/>
          <w:spacing w:val="-13"/>
        </w:rPr>
        <w:t> </w:t>
      </w:r>
      <w:r>
        <w:rPr>
          <w:color w:val="231F20"/>
        </w:rPr>
        <w:t>finger</w:t>
      </w:r>
      <w:r>
        <w:rPr>
          <w:color w:val="231F20"/>
          <w:spacing w:val="-14"/>
        </w:rPr>
        <w:t> </w:t>
      </w:r>
      <w:r>
        <w:rPr>
          <w:color w:val="231F20"/>
        </w:rPr>
        <w:t>millet</w:t>
      </w:r>
      <w:r>
        <w:rPr>
          <w:color w:val="231F20"/>
          <w:spacing w:val="-13"/>
        </w:rPr>
        <w:t> </w:t>
      </w:r>
      <w:r>
        <w:rPr>
          <w:color w:val="231F20"/>
        </w:rPr>
        <w:t>(Vakula)</w:t>
      </w:r>
      <w:r>
        <w:rPr>
          <w:color w:val="231F20"/>
          <w:spacing w:val="-14"/>
        </w:rPr>
        <w:t> </w:t>
      </w:r>
      <w:r>
        <w:rPr>
          <w:color w:val="231F20"/>
        </w:rPr>
        <w:t>and little millet (BL</w:t>
      </w:r>
      <w:r>
        <w:rPr>
          <w:color w:val="231F20"/>
          <w:spacing w:val="-1"/>
        </w:rPr>
        <w:t> </w:t>
      </w:r>
      <w:r>
        <w:rPr>
          <w:color w:val="231F20"/>
        </w:rPr>
        <w:t>6) with groundnut (Dharani) in 5:4 and 5:2</w:t>
      </w:r>
      <w:r>
        <w:rPr>
          <w:color w:val="231F20"/>
          <w:spacing w:val="-2"/>
        </w:rPr>
        <w:t> </w:t>
      </w:r>
      <w:r>
        <w:rPr>
          <w:color w:val="231F20"/>
        </w:rPr>
        <w:t>row</w:t>
      </w:r>
      <w:r>
        <w:rPr>
          <w:color w:val="231F20"/>
          <w:spacing w:val="-2"/>
        </w:rPr>
        <w:t> </w:t>
      </w:r>
      <w:r>
        <w:rPr>
          <w:color w:val="231F20"/>
        </w:rPr>
        <w:t>proportion</w:t>
      </w:r>
      <w:r>
        <w:rPr>
          <w:color w:val="231F20"/>
          <w:spacing w:val="-2"/>
        </w:rPr>
        <w:t> </w:t>
      </w:r>
      <w:r>
        <w:rPr>
          <w:color w:val="231F20"/>
        </w:rPr>
        <w:t>and</w:t>
      </w:r>
      <w:r>
        <w:rPr>
          <w:color w:val="231F20"/>
          <w:spacing w:val="-2"/>
        </w:rPr>
        <w:t> </w:t>
      </w:r>
      <w:r>
        <w:rPr>
          <w:color w:val="231F20"/>
        </w:rPr>
        <w:t>their</w:t>
      </w:r>
      <w:r>
        <w:rPr>
          <w:color w:val="231F20"/>
          <w:spacing w:val="-2"/>
        </w:rPr>
        <w:t> </w:t>
      </w:r>
      <w:r>
        <w:rPr>
          <w:color w:val="231F20"/>
        </w:rPr>
        <w:t>sole</w:t>
      </w:r>
      <w:r>
        <w:rPr>
          <w:color w:val="231F20"/>
          <w:spacing w:val="-2"/>
        </w:rPr>
        <w:t> </w:t>
      </w:r>
      <w:r>
        <w:rPr>
          <w:color w:val="231F20"/>
        </w:rPr>
        <w:t>crops</w:t>
      </w:r>
      <w:r>
        <w:rPr>
          <w:color w:val="231F20"/>
          <w:spacing w:val="-2"/>
        </w:rPr>
        <w:t> </w:t>
      </w:r>
      <w:r>
        <w:rPr>
          <w:color w:val="231F20"/>
        </w:rPr>
        <w:t>replicated</w:t>
      </w:r>
      <w:r>
        <w:rPr>
          <w:color w:val="231F20"/>
          <w:spacing w:val="-2"/>
        </w:rPr>
        <w:t> thrice.</w:t>
      </w:r>
    </w:p>
    <w:p>
      <w:pPr>
        <w:pStyle w:val="BodyText"/>
        <w:spacing w:after="0" w:line="249" w:lineRule="auto"/>
        <w:sectPr>
          <w:type w:val="continuous"/>
          <w:pgSz w:w="12480" w:h="15880"/>
          <w:pgMar w:header="0" w:footer="988" w:top="980" w:bottom="1180" w:left="1133" w:right="992"/>
          <w:cols w:num="2" w:equalWidth="0">
            <w:col w:w="4963" w:space="280"/>
            <w:col w:w="5112"/>
          </w:cols>
        </w:sectPr>
      </w:pPr>
    </w:p>
    <w:p>
      <w:pPr>
        <w:pStyle w:val="BodyText"/>
        <w:spacing w:before="24"/>
        <w:ind w:left="0"/>
        <w:jc w:val="left"/>
        <w:rPr>
          <w:sz w:val="20"/>
        </w:rPr>
      </w:pPr>
    </w:p>
    <w:p>
      <w:pPr>
        <w:pStyle w:val="BodyText"/>
        <w:spacing w:line="20" w:lineRule="exact"/>
        <w:jc w:val="left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914400" cy="12700"/>
                <wp:effectExtent l="9525" t="0" r="0" b="635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914400" cy="12700"/>
                          <a:chExt cx="914400" cy="127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6350"/>
                            <a:ext cx="914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0" h="0">
                                <a:moveTo>
                                  <a:pt x="0" y="0"/>
                                </a:moveTo>
                                <a:lnTo>
                                  <a:pt x="914400" y="0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72pt;height:1pt;mso-position-horizontal-relative:char;mso-position-vertical-relative:line" id="docshapegroup2" coordorigin="0,0" coordsize="1440,20">
                <v:line style="position:absolute" from="0,10" to="1440,10" stroked="true" strokeweight="1pt" strokecolor="#231f2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spacing w:before="0"/>
        <w:ind w:left="1" w:right="0" w:firstLine="0"/>
        <w:jc w:val="left"/>
        <w:rPr>
          <w:sz w:val="22"/>
        </w:rPr>
      </w:pPr>
      <w:r>
        <w:rPr>
          <w:color w:val="231F20"/>
          <w:sz w:val="20"/>
        </w:rPr>
        <w:t>*Corresponding author, E-mail:</w:t>
      </w:r>
      <w:r>
        <w:rPr>
          <w:color w:val="231F20"/>
          <w:spacing w:val="-1"/>
          <w:sz w:val="20"/>
        </w:rPr>
        <w:t> </w:t>
      </w:r>
      <w:hyperlink r:id="rId7">
        <w:r>
          <w:rPr>
            <w:color w:val="231F20"/>
            <w:spacing w:val="-2"/>
            <w:sz w:val="22"/>
          </w:rPr>
          <w:t>bolluniharika2580@gmail.com</w:t>
        </w:r>
      </w:hyperlink>
    </w:p>
    <w:p>
      <w:pPr>
        <w:spacing w:after="0"/>
        <w:jc w:val="left"/>
        <w:rPr>
          <w:sz w:val="22"/>
        </w:rPr>
        <w:sectPr>
          <w:type w:val="continuous"/>
          <w:pgSz w:w="12480" w:h="15880"/>
          <w:pgMar w:header="0" w:footer="988" w:top="980" w:bottom="1180" w:left="1133" w:right="992"/>
        </w:sectPr>
      </w:pPr>
    </w:p>
    <w:p>
      <w:pPr>
        <w:spacing w:before="65"/>
        <w:ind w:left="11" w:right="149" w:firstLine="0"/>
        <w:jc w:val="center"/>
        <w:rPr>
          <w:i/>
          <w:sz w:val="22"/>
        </w:rPr>
      </w:pPr>
      <w:r>
        <w:rPr>
          <w:color w:val="231F20"/>
          <w:sz w:val="22"/>
        </w:rPr>
        <w:t>Niharika</w:t>
      </w:r>
      <w:r>
        <w:rPr>
          <w:color w:val="231F20"/>
          <w:spacing w:val="-1"/>
          <w:sz w:val="22"/>
        </w:rPr>
        <w:t> </w:t>
      </w:r>
      <w:r>
        <w:rPr>
          <w:i/>
          <w:color w:val="231F20"/>
          <w:sz w:val="22"/>
        </w:rPr>
        <w:t>et </w:t>
      </w:r>
      <w:r>
        <w:rPr>
          <w:i/>
          <w:color w:val="231F20"/>
          <w:spacing w:val="-4"/>
          <w:sz w:val="22"/>
        </w:rPr>
        <w:t>al.,</w:t>
      </w:r>
    </w:p>
    <w:p>
      <w:pPr>
        <w:pStyle w:val="BodyText"/>
        <w:spacing w:before="132"/>
        <w:ind w:left="0"/>
        <w:jc w:val="left"/>
        <w:rPr>
          <w:i/>
        </w:rPr>
      </w:pPr>
    </w:p>
    <w:p>
      <w:pPr>
        <w:pStyle w:val="Heading2"/>
      </w:pPr>
      <w:r>
        <w:rPr>
          <w:color w:val="231F20"/>
        </w:rPr>
        <w:t>Table</w:t>
      </w:r>
      <w:r>
        <w:rPr>
          <w:color w:val="231F20"/>
          <w:spacing w:val="-10"/>
        </w:rPr>
        <w:t> </w:t>
      </w:r>
      <w:r>
        <w:rPr>
          <w:color w:val="231F20"/>
        </w:rPr>
        <w:t>1.</w:t>
      </w:r>
      <w:r>
        <w:rPr>
          <w:color w:val="231F20"/>
          <w:spacing w:val="-10"/>
        </w:rPr>
        <w:t> </w:t>
      </w:r>
      <w:r>
        <w:rPr>
          <w:color w:val="231F20"/>
        </w:rPr>
        <w:t>Pod</w:t>
      </w:r>
      <w:r>
        <w:rPr>
          <w:color w:val="231F20"/>
          <w:spacing w:val="-10"/>
        </w:rPr>
        <w:t> </w:t>
      </w:r>
      <w:r>
        <w:rPr>
          <w:color w:val="231F20"/>
        </w:rPr>
        <w:t>and</w:t>
      </w:r>
      <w:r>
        <w:rPr>
          <w:color w:val="231F20"/>
          <w:spacing w:val="-10"/>
        </w:rPr>
        <w:t> </w:t>
      </w:r>
      <w:r>
        <w:rPr>
          <w:color w:val="231F20"/>
        </w:rPr>
        <w:t>haulm</w:t>
      </w:r>
      <w:r>
        <w:rPr>
          <w:color w:val="231F20"/>
          <w:spacing w:val="-10"/>
        </w:rPr>
        <w:t> </w:t>
      </w:r>
      <w:r>
        <w:rPr>
          <w:color w:val="231F20"/>
        </w:rPr>
        <w:t>yield</w:t>
      </w:r>
      <w:r>
        <w:rPr>
          <w:color w:val="231F20"/>
          <w:spacing w:val="-10"/>
        </w:rPr>
        <w:t> </w:t>
      </w:r>
      <w:r>
        <w:rPr>
          <w:color w:val="231F20"/>
        </w:rPr>
        <w:t>(kg</w:t>
      </w:r>
      <w:r>
        <w:rPr>
          <w:color w:val="231F20"/>
          <w:spacing w:val="-9"/>
        </w:rPr>
        <w:t> </w:t>
      </w:r>
      <w:r>
        <w:rPr>
          <w:color w:val="231F20"/>
        </w:rPr>
        <w:t>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</w:t>
      </w:r>
      <w:r>
        <w:rPr>
          <w:color w:val="231F20"/>
          <w:spacing w:val="-10"/>
        </w:rPr>
        <w:t> </w:t>
      </w:r>
      <w:r>
        <w:rPr>
          <w:color w:val="231F20"/>
        </w:rPr>
        <w:t>of</w:t>
      </w:r>
      <w:r>
        <w:rPr>
          <w:color w:val="231F20"/>
          <w:spacing w:val="-10"/>
        </w:rPr>
        <w:t> </w:t>
      </w:r>
      <w:r>
        <w:rPr>
          <w:color w:val="231F20"/>
        </w:rPr>
        <w:t>groundnut</w:t>
      </w:r>
      <w:r>
        <w:rPr>
          <w:color w:val="231F20"/>
          <w:spacing w:val="-10"/>
        </w:rPr>
        <w:t> </w:t>
      </w:r>
      <w:r>
        <w:rPr>
          <w:color w:val="231F20"/>
        </w:rPr>
        <w:t>as</w:t>
      </w:r>
      <w:r>
        <w:rPr>
          <w:color w:val="231F20"/>
          <w:spacing w:val="-10"/>
        </w:rPr>
        <w:t> </w:t>
      </w:r>
      <w:r>
        <w:rPr>
          <w:color w:val="231F20"/>
        </w:rPr>
        <w:t>influenced</w:t>
      </w:r>
      <w:r>
        <w:rPr>
          <w:color w:val="231F20"/>
          <w:spacing w:val="-10"/>
        </w:rPr>
        <w:t> </w:t>
      </w:r>
      <w:r>
        <w:rPr>
          <w:color w:val="231F20"/>
        </w:rPr>
        <w:t>by</w:t>
      </w:r>
      <w:r>
        <w:rPr>
          <w:color w:val="231F20"/>
          <w:spacing w:val="-9"/>
        </w:rPr>
        <w:t> </w:t>
      </w:r>
      <w:r>
        <w:rPr>
          <w:color w:val="231F20"/>
        </w:rPr>
        <w:t>different</w:t>
      </w:r>
      <w:r>
        <w:rPr>
          <w:color w:val="231F20"/>
          <w:spacing w:val="-10"/>
        </w:rPr>
        <w:t> </w:t>
      </w:r>
      <w:r>
        <w:rPr>
          <w:color w:val="231F20"/>
        </w:rPr>
        <w:t>groundnut</w:t>
      </w:r>
      <w:r>
        <w:rPr>
          <w:color w:val="231F20"/>
          <w:spacing w:val="-10"/>
        </w:rPr>
        <w:t> </w:t>
      </w:r>
      <w:r>
        <w:rPr>
          <w:color w:val="231F20"/>
        </w:rPr>
        <w:t>based</w:t>
      </w:r>
      <w:r>
        <w:rPr>
          <w:color w:val="231F20"/>
          <w:spacing w:val="-10"/>
        </w:rPr>
        <w:t> </w:t>
      </w:r>
      <w:r>
        <w:rPr>
          <w:color w:val="231F20"/>
          <w:spacing w:val="-2"/>
        </w:rPr>
        <w:t>intercropping</w:t>
      </w:r>
    </w:p>
    <w:p>
      <w:pPr>
        <w:spacing w:before="11"/>
        <w:ind w:left="771" w:right="0" w:firstLine="0"/>
        <w:jc w:val="left"/>
        <w:rPr>
          <w:b/>
          <w:sz w:val="22"/>
        </w:rPr>
      </w:pPr>
      <w:r>
        <w:rPr>
          <w:b/>
          <w:color w:val="231F20"/>
          <w:spacing w:val="-2"/>
          <w:sz w:val="22"/>
        </w:rPr>
        <w:t>systems</w:t>
      </w:r>
    </w:p>
    <w:p>
      <w:pPr>
        <w:pStyle w:val="BodyText"/>
        <w:spacing w:before="9" w:after="1"/>
        <w:ind w:left="0"/>
        <w:jc w:val="left"/>
        <w:rPr>
          <w:b/>
          <w:sz w:val="20"/>
        </w:rPr>
      </w:pPr>
    </w:p>
    <w:tbl>
      <w:tblPr>
        <w:tblW w:w="0" w:type="auto"/>
        <w:jc w:val="left"/>
        <w:tblInd w:w="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5"/>
        <w:gridCol w:w="3985"/>
        <w:gridCol w:w="1693"/>
        <w:gridCol w:w="1888"/>
        <w:gridCol w:w="2050"/>
      </w:tblGrid>
      <w:tr>
        <w:trPr>
          <w:trHeight w:val="608" w:hRule="atLeast"/>
        </w:trPr>
        <w:tc>
          <w:tcPr>
            <w:tcW w:w="6233" w:type="dxa"/>
            <w:gridSpan w:val="3"/>
            <w:tcBorders>
              <w:top w:val="single" w:sz="8" w:space="0" w:color="000000"/>
            </w:tcBorders>
          </w:tcPr>
          <w:p>
            <w:pPr>
              <w:pStyle w:val="TableParagraph"/>
              <w:spacing w:before="102"/>
              <w:rPr>
                <w:b/>
                <w:sz w:val="22"/>
              </w:rPr>
            </w:pPr>
          </w:p>
          <w:p>
            <w:pPr>
              <w:pStyle w:val="TableParagraph"/>
              <w:tabs>
                <w:tab w:pos="5353" w:val="left" w:leader="none"/>
              </w:tabs>
              <w:spacing w:line="233" w:lineRule="exact" w:before="1"/>
              <w:ind w:left="2078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Treatment</w:t>
            </w:r>
            <w:r>
              <w:rPr>
                <w:b/>
                <w:sz w:val="22"/>
              </w:rPr>
              <w:tab/>
              <w:t>Pod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4"/>
                <w:sz w:val="22"/>
              </w:rPr>
              <w:t>yield</w:t>
            </w:r>
          </w:p>
        </w:tc>
        <w:tc>
          <w:tcPr>
            <w:tcW w:w="188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2"/>
              <w:rPr>
                <w:b/>
                <w:sz w:val="22"/>
              </w:rPr>
            </w:pPr>
          </w:p>
          <w:p>
            <w:pPr>
              <w:pStyle w:val="TableParagraph"/>
              <w:spacing w:line="233" w:lineRule="exact" w:before="1"/>
              <w:ind w:left="160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Haulm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yield</w:t>
            </w:r>
          </w:p>
        </w:tc>
        <w:tc>
          <w:tcPr>
            <w:tcW w:w="20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52" w:lineRule="exact" w:before="99"/>
              <w:ind w:left="125" w:right="212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Groundnut</w:t>
            </w:r>
          </w:p>
          <w:p>
            <w:pPr>
              <w:pStyle w:val="TableParagraph"/>
              <w:spacing w:line="237" w:lineRule="exact" w:before="0"/>
              <w:ind w:left="127" w:right="2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pod</w:t>
            </w:r>
            <w:r>
              <w:rPr>
                <w:b/>
                <w:spacing w:val="-2"/>
                <w:sz w:val="22"/>
              </w:rPr>
              <w:t> equivalent</w:t>
            </w:r>
          </w:p>
        </w:tc>
      </w:tr>
      <w:tr>
        <w:trPr>
          <w:trHeight w:val="350" w:hRule="atLeast"/>
        </w:trPr>
        <w:tc>
          <w:tcPr>
            <w:tcW w:w="55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398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69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188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2050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51" w:lineRule="exact" w:before="0"/>
              <w:ind w:left="125" w:right="2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yield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(kg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ha</w:t>
            </w:r>
            <w:r>
              <w:rPr>
                <w:b/>
                <w:sz w:val="22"/>
                <w:vertAlign w:val="superscript"/>
              </w:rPr>
              <w:t>-</w:t>
            </w:r>
            <w:r>
              <w:rPr>
                <w:b/>
                <w:spacing w:val="-5"/>
                <w:sz w:val="22"/>
                <w:vertAlign w:val="superscript"/>
              </w:rPr>
              <w:t>1</w:t>
            </w:r>
            <w:r>
              <w:rPr>
                <w:b/>
                <w:spacing w:val="-5"/>
                <w:sz w:val="22"/>
                <w:vertAlign w:val="baseline"/>
              </w:rPr>
              <w:t>)</w:t>
            </w:r>
          </w:p>
        </w:tc>
      </w:tr>
      <w:tr>
        <w:trPr>
          <w:trHeight w:val="459" w:hRule="atLeast"/>
        </w:trPr>
        <w:tc>
          <w:tcPr>
            <w:tcW w:w="55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0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1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1"/>
              <w:ind w:left="77"/>
              <w:rPr>
                <w:sz w:val="22"/>
              </w:rPr>
            </w:pPr>
            <w:r>
              <w:rPr>
                <w:sz w:val="22"/>
              </w:rPr>
              <w:t>Sole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crop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</w:t>
            </w:r>
            <w:r>
              <w:rPr>
                <w:spacing w:val="-2"/>
                <w:sz w:val="22"/>
              </w:rPr>
              <w:t>groundnut</w:t>
            </w:r>
          </w:p>
        </w:tc>
        <w:tc>
          <w:tcPr>
            <w:tcW w:w="1693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1"/>
              <w:ind w:right="216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2295</w:t>
            </w:r>
          </w:p>
        </w:tc>
        <w:tc>
          <w:tcPr>
            <w:tcW w:w="188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1"/>
              <w:ind w:left="160" w:right="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3016</w:t>
            </w:r>
          </w:p>
        </w:tc>
        <w:tc>
          <w:tcPr>
            <w:tcW w:w="20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1"/>
              <w:ind w:left="126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2295</w:t>
            </w:r>
          </w:p>
        </w:tc>
      </w:tr>
      <w:tr>
        <w:trPr>
          <w:trHeight w:val="453" w:hRule="atLeast"/>
        </w:trPr>
        <w:tc>
          <w:tcPr>
            <w:tcW w:w="555" w:type="dxa"/>
          </w:tcPr>
          <w:p>
            <w:pPr>
              <w:pStyle w:val="TableParagraph"/>
              <w:spacing w:before="94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5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ind w:left="77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little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(5:2)</w:t>
            </w:r>
          </w:p>
        </w:tc>
        <w:tc>
          <w:tcPr>
            <w:tcW w:w="1693" w:type="dxa"/>
          </w:tcPr>
          <w:p>
            <w:pPr>
              <w:pStyle w:val="TableParagraph"/>
              <w:ind w:right="216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1819</w:t>
            </w:r>
          </w:p>
        </w:tc>
        <w:tc>
          <w:tcPr>
            <w:tcW w:w="1888" w:type="dxa"/>
          </w:tcPr>
          <w:p>
            <w:pPr>
              <w:pStyle w:val="TableParagraph"/>
              <w:ind w:left="160" w:right="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2376</w:t>
            </w:r>
          </w:p>
        </w:tc>
        <w:tc>
          <w:tcPr>
            <w:tcW w:w="2050" w:type="dxa"/>
          </w:tcPr>
          <w:p>
            <w:pPr>
              <w:pStyle w:val="TableParagraph"/>
              <w:ind w:left="126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2154</w:t>
            </w:r>
          </w:p>
        </w:tc>
      </w:tr>
      <w:tr>
        <w:trPr>
          <w:trHeight w:val="452" w:hRule="atLeast"/>
        </w:trPr>
        <w:tc>
          <w:tcPr>
            <w:tcW w:w="555" w:type="dxa"/>
          </w:tcPr>
          <w:p>
            <w:pPr>
              <w:pStyle w:val="TableParagraph"/>
              <w:spacing w:before="94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6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ind w:left="77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foxtail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(5:2)</w:t>
            </w:r>
          </w:p>
        </w:tc>
        <w:tc>
          <w:tcPr>
            <w:tcW w:w="1693" w:type="dxa"/>
          </w:tcPr>
          <w:p>
            <w:pPr>
              <w:pStyle w:val="TableParagraph"/>
              <w:ind w:right="216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1927</w:t>
            </w:r>
          </w:p>
        </w:tc>
        <w:tc>
          <w:tcPr>
            <w:tcW w:w="1888" w:type="dxa"/>
          </w:tcPr>
          <w:p>
            <w:pPr>
              <w:pStyle w:val="TableParagraph"/>
              <w:ind w:left="160" w:right="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2510</w:t>
            </w:r>
          </w:p>
        </w:tc>
        <w:tc>
          <w:tcPr>
            <w:tcW w:w="2050" w:type="dxa"/>
          </w:tcPr>
          <w:p>
            <w:pPr>
              <w:pStyle w:val="TableParagraph"/>
              <w:ind w:left="126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2293</w:t>
            </w:r>
          </w:p>
        </w:tc>
      </w:tr>
      <w:tr>
        <w:trPr>
          <w:trHeight w:val="452" w:hRule="atLeast"/>
        </w:trPr>
        <w:tc>
          <w:tcPr>
            <w:tcW w:w="555" w:type="dxa"/>
          </w:tcPr>
          <w:p>
            <w:pPr>
              <w:pStyle w:val="TableParagraph"/>
              <w:spacing w:before="93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7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spacing w:before="94"/>
              <w:ind w:left="77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finger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(5:2)</w:t>
            </w:r>
          </w:p>
        </w:tc>
        <w:tc>
          <w:tcPr>
            <w:tcW w:w="1693" w:type="dxa"/>
          </w:tcPr>
          <w:p>
            <w:pPr>
              <w:pStyle w:val="TableParagraph"/>
              <w:spacing w:before="94"/>
              <w:ind w:right="216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1976</w:t>
            </w:r>
          </w:p>
        </w:tc>
        <w:tc>
          <w:tcPr>
            <w:tcW w:w="1888" w:type="dxa"/>
          </w:tcPr>
          <w:p>
            <w:pPr>
              <w:pStyle w:val="TableParagraph"/>
              <w:spacing w:before="94"/>
              <w:ind w:left="160" w:right="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2689</w:t>
            </w:r>
          </w:p>
        </w:tc>
        <w:tc>
          <w:tcPr>
            <w:tcW w:w="2050" w:type="dxa"/>
          </w:tcPr>
          <w:p>
            <w:pPr>
              <w:pStyle w:val="TableParagraph"/>
              <w:spacing w:before="94"/>
              <w:ind w:left="126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2906</w:t>
            </w:r>
          </w:p>
        </w:tc>
      </w:tr>
      <w:tr>
        <w:trPr>
          <w:trHeight w:val="453" w:hRule="atLeast"/>
        </w:trPr>
        <w:tc>
          <w:tcPr>
            <w:tcW w:w="555" w:type="dxa"/>
          </w:tcPr>
          <w:p>
            <w:pPr>
              <w:pStyle w:val="TableParagraph"/>
              <w:spacing w:before="94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8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ind w:left="77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little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(5:4)</w:t>
            </w:r>
          </w:p>
        </w:tc>
        <w:tc>
          <w:tcPr>
            <w:tcW w:w="1693" w:type="dxa"/>
          </w:tcPr>
          <w:p>
            <w:pPr>
              <w:pStyle w:val="TableParagraph"/>
              <w:ind w:right="216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1061</w:t>
            </w:r>
          </w:p>
        </w:tc>
        <w:tc>
          <w:tcPr>
            <w:tcW w:w="1888" w:type="dxa"/>
          </w:tcPr>
          <w:p>
            <w:pPr>
              <w:pStyle w:val="TableParagraph"/>
              <w:ind w:left="160" w:right="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1405</w:t>
            </w:r>
          </w:p>
        </w:tc>
        <w:tc>
          <w:tcPr>
            <w:tcW w:w="2050" w:type="dxa"/>
          </w:tcPr>
          <w:p>
            <w:pPr>
              <w:pStyle w:val="TableParagraph"/>
              <w:ind w:left="126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1739</w:t>
            </w:r>
          </w:p>
        </w:tc>
      </w:tr>
      <w:tr>
        <w:trPr>
          <w:trHeight w:val="453" w:hRule="atLeast"/>
        </w:trPr>
        <w:tc>
          <w:tcPr>
            <w:tcW w:w="555" w:type="dxa"/>
          </w:tcPr>
          <w:p>
            <w:pPr>
              <w:pStyle w:val="TableParagraph"/>
              <w:spacing w:before="94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9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ind w:left="77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foxtail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(5:4)</w:t>
            </w:r>
          </w:p>
        </w:tc>
        <w:tc>
          <w:tcPr>
            <w:tcW w:w="1693" w:type="dxa"/>
          </w:tcPr>
          <w:p>
            <w:pPr>
              <w:pStyle w:val="TableParagraph"/>
              <w:ind w:right="216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1370</w:t>
            </w:r>
          </w:p>
        </w:tc>
        <w:tc>
          <w:tcPr>
            <w:tcW w:w="1888" w:type="dxa"/>
          </w:tcPr>
          <w:p>
            <w:pPr>
              <w:pStyle w:val="TableParagraph"/>
              <w:ind w:left="160" w:right="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1879</w:t>
            </w:r>
          </w:p>
        </w:tc>
        <w:tc>
          <w:tcPr>
            <w:tcW w:w="2050" w:type="dxa"/>
          </w:tcPr>
          <w:p>
            <w:pPr>
              <w:pStyle w:val="TableParagraph"/>
              <w:ind w:left="126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2132</w:t>
            </w:r>
          </w:p>
        </w:tc>
      </w:tr>
      <w:tr>
        <w:trPr>
          <w:trHeight w:val="349" w:hRule="atLeast"/>
        </w:trPr>
        <w:tc>
          <w:tcPr>
            <w:tcW w:w="555" w:type="dxa"/>
          </w:tcPr>
          <w:p>
            <w:pPr>
              <w:pStyle w:val="TableParagraph"/>
              <w:spacing w:line="236" w:lineRule="exact" w:before="94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10</w:t>
            </w:r>
            <w:r>
              <w:rPr>
                <w:spacing w:val="48"/>
                <w:sz w:val="14"/>
              </w:rPr>
              <w:t>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spacing w:line="235" w:lineRule="exact"/>
              <w:ind w:left="77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finger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(5:4)</w:t>
            </w:r>
          </w:p>
        </w:tc>
        <w:tc>
          <w:tcPr>
            <w:tcW w:w="1693" w:type="dxa"/>
          </w:tcPr>
          <w:p>
            <w:pPr>
              <w:pStyle w:val="TableParagraph"/>
              <w:spacing w:line="235" w:lineRule="exact"/>
              <w:ind w:right="216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1480</w:t>
            </w:r>
          </w:p>
        </w:tc>
        <w:tc>
          <w:tcPr>
            <w:tcW w:w="1888" w:type="dxa"/>
          </w:tcPr>
          <w:p>
            <w:pPr>
              <w:pStyle w:val="TableParagraph"/>
              <w:spacing w:line="235" w:lineRule="exact"/>
              <w:ind w:left="160" w:right="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2018</w:t>
            </w:r>
          </w:p>
        </w:tc>
        <w:tc>
          <w:tcPr>
            <w:tcW w:w="2050" w:type="dxa"/>
          </w:tcPr>
          <w:p>
            <w:pPr>
              <w:pStyle w:val="TableParagraph"/>
              <w:spacing w:line="235" w:lineRule="exact"/>
              <w:ind w:left="126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2747</w:t>
            </w:r>
          </w:p>
        </w:tc>
      </w:tr>
      <w:tr>
        <w:trPr>
          <w:trHeight w:val="554" w:hRule="atLeast"/>
        </w:trPr>
        <w:tc>
          <w:tcPr>
            <w:tcW w:w="4540" w:type="dxa"/>
            <w:gridSpan w:val="2"/>
          </w:tcPr>
          <w:p>
            <w:pPr>
              <w:pStyle w:val="TableParagraph"/>
              <w:spacing w:before="196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10"/>
                <w:sz w:val="22"/>
              </w:rPr>
              <w:t>±</w:t>
            </w:r>
          </w:p>
        </w:tc>
        <w:tc>
          <w:tcPr>
            <w:tcW w:w="1693" w:type="dxa"/>
          </w:tcPr>
          <w:p>
            <w:pPr>
              <w:pStyle w:val="TableParagraph"/>
              <w:spacing w:before="196"/>
              <w:ind w:right="244"/>
              <w:jc w:val="right"/>
              <w:rPr>
                <w:sz w:val="22"/>
              </w:rPr>
            </w:pPr>
            <w:r>
              <w:rPr>
                <w:spacing w:val="-4"/>
                <w:sz w:val="22"/>
              </w:rPr>
              <w:t>97.4</w:t>
            </w:r>
          </w:p>
        </w:tc>
        <w:tc>
          <w:tcPr>
            <w:tcW w:w="1888" w:type="dxa"/>
          </w:tcPr>
          <w:p>
            <w:pPr>
              <w:pStyle w:val="TableParagraph"/>
              <w:spacing w:before="196"/>
              <w:ind w:left="160" w:right="4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102.4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96"/>
              <w:ind w:left="128" w:right="21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69.21</w:t>
            </w:r>
          </w:p>
        </w:tc>
      </w:tr>
      <w:tr>
        <w:trPr>
          <w:trHeight w:val="447" w:hRule="atLeast"/>
        </w:trPr>
        <w:tc>
          <w:tcPr>
            <w:tcW w:w="4540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96"/>
              <w:rPr>
                <w:sz w:val="22"/>
              </w:rPr>
            </w:pPr>
            <w:r>
              <w:rPr>
                <w:sz w:val="22"/>
              </w:rPr>
              <w:t>CD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(P=0.05)</w:t>
            </w:r>
          </w:p>
        </w:tc>
        <w:tc>
          <w:tcPr>
            <w:tcW w:w="1693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6"/>
              <w:ind w:right="273"/>
              <w:jc w:val="right"/>
              <w:rPr>
                <w:sz w:val="22"/>
              </w:rPr>
            </w:pPr>
            <w:r>
              <w:rPr>
                <w:spacing w:val="-5"/>
                <w:sz w:val="22"/>
              </w:rPr>
              <w:t>300</w:t>
            </w:r>
          </w:p>
        </w:tc>
        <w:tc>
          <w:tcPr>
            <w:tcW w:w="188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6"/>
              <w:ind w:left="160" w:right="7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316</w:t>
            </w:r>
          </w:p>
        </w:tc>
        <w:tc>
          <w:tcPr>
            <w:tcW w:w="2050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6"/>
              <w:ind w:left="128" w:right="21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213.2</w:t>
            </w:r>
          </w:p>
        </w:tc>
      </w:tr>
      <w:tr>
        <w:trPr>
          <w:trHeight w:val="778" w:hRule="atLeast"/>
        </w:trPr>
        <w:tc>
          <w:tcPr>
            <w:tcW w:w="10171" w:type="dxa"/>
            <w:gridSpan w:val="5"/>
          </w:tcPr>
          <w:p>
            <w:pPr>
              <w:pStyle w:val="TableParagraph"/>
              <w:spacing w:before="123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rPr>
                <w:b/>
                <w:sz w:val="22"/>
              </w:rPr>
            </w:pPr>
            <w:r>
              <w:rPr>
                <w:b/>
                <w:color w:val="231F20"/>
                <w:sz w:val="22"/>
              </w:rPr>
              <w:t>Table</w:t>
            </w:r>
            <w:r>
              <w:rPr>
                <w:b/>
                <w:color w:val="231F20"/>
                <w:spacing w:val="-6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2.</w:t>
            </w:r>
            <w:r>
              <w:rPr>
                <w:b/>
                <w:color w:val="231F20"/>
                <w:spacing w:val="-5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Grain</w:t>
            </w:r>
            <w:r>
              <w:rPr>
                <w:b/>
                <w:color w:val="231F20"/>
                <w:spacing w:val="-6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and</w:t>
            </w:r>
            <w:r>
              <w:rPr>
                <w:b/>
                <w:color w:val="231F20"/>
                <w:spacing w:val="-6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straw</w:t>
            </w:r>
            <w:r>
              <w:rPr>
                <w:b/>
                <w:color w:val="231F20"/>
                <w:spacing w:val="-7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yield</w:t>
            </w:r>
            <w:r>
              <w:rPr>
                <w:b/>
                <w:color w:val="231F20"/>
                <w:spacing w:val="-6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(kg</w:t>
            </w:r>
            <w:r>
              <w:rPr>
                <w:b/>
                <w:color w:val="231F20"/>
                <w:spacing w:val="-5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ha</w:t>
            </w:r>
            <w:r>
              <w:rPr>
                <w:b/>
                <w:color w:val="231F20"/>
                <w:position w:val="7"/>
                <w:sz w:val="13"/>
              </w:rPr>
              <w:t>-1</w:t>
            </w:r>
            <w:r>
              <w:rPr>
                <w:b/>
                <w:color w:val="231F20"/>
                <w:sz w:val="22"/>
              </w:rPr>
              <w:t>)</w:t>
            </w:r>
            <w:r>
              <w:rPr>
                <w:b/>
                <w:color w:val="231F20"/>
                <w:spacing w:val="-5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of</w:t>
            </w:r>
            <w:r>
              <w:rPr>
                <w:b/>
                <w:color w:val="231F20"/>
                <w:spacing w:val="-6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different</w:t>
            </w:r>
            <w:r>
              <w:rPr>
                <w:b/>
                <w:color w:val="231F20"/>
                <w:spacing w:val="-5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intercrops</w:t>
            </w:r>
            <w:r>
              <w:rPr>
                <w:b/>
                <w:color w:val="231F20"/>
                <w:spacing w:val="-6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in</w:t>
            </w:r>
            <w:r>
              <w:rPr>
                <w:b/>
                <w:color w:val="231F20"/>
                <w:spacing w:val="-6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sole</w:t>
            </w:r>
            <w:r>
              <w:rPr>
                <w:b/>
                <w:color w:val="231F20"/>
                <w:spacing w:val="-6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and</w:t>
            </w:r>
            <w:r>
              <w:rPr>
                <w:b/>
                <w:color w:val="231F20"/>
                <w:spacing w:val="-6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in</w:t>
            </w:r>
            <w:r>
              <w:rPr>
                <w:b/>
                <w:color w:val="231F20"/>
                <w:spacing w:val="-6"/>
                <w:sz w:val="22"/>
              </w:rPr>
              <w:t> </w:t>
            </w:r>
            <w:r>
              <w:rPr>
                <w:b/>
                <w:color w:val="231F20"/>
                <w:sz w:val="22"/>
              </w:rPr>
              <w:t>intercropping</w:t>
            </w:r>
            <w:r>
              <w:rPr>
                <w:b/>
                <w:color w:val="231F20"/>
                <w:spacing w:val="-5"/>
                <w:sz w:val="22"/>
              </w:rPr>
              <w:t> </w:t>
            </w:r>
            <w:r>
              <w:rPr>
                <w:b/>
                <w:color w:val="231F20"/>
                <w:spacing w:val="-2"/>
                <w:sz w:val="22"/>
              </w:rPr>
              <w:t>systems</w:t>
            </w:r>
          </w:p>
        </w:tc>
      </w:tr>
      <w:tr>
        <w:trPr>
          <w:trHeight w:val="452" w:hRule="atLeast"/>
        </w:trPr>
        <w:tc>
          <w:tcPr>
            <w:tcW w:w="55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398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01"/>
              <w:ind w:left="179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Treatment</w:t>
            </w:r>
          </w:p>
        </w:tc>
        <w:tc>
          <w:tcPr>
            <w:tcW w:w="3581" w:type="dxa"/>
            <w:gridSpan w:val="2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01"/>
              <w:ind w:left="1695"/>
              <w:rPr>
                <w:b/>
                <w:sz w:val="22"/>
              </w:rPr>
            </w:pPr>
            <w:r>
              <w:rPr>
                <w:b/>
                <w:sz w:val="22"/>
              </w:rPr>
              <w:t>Grain</w:t>
            </w:r>
            <w:r>
              <w:rPr>
                <w:b/>
                <w:spacing w:val="-2"/>
                <w:sz w:val="22"/>
              </w:rPr>
              <w:t> yield</w:t>
            </w:r>
          </w:p>
        </w:tc>
        <w:tc>
          <w:tcPr>
            <w:tcW w:w="205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101"/>
              <w:ind w:left="3" w:right="21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Straw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yield</w:t>
            </w:r>
          </w:p>
        </w:tc>
      </w:tr>
      <w:tr>
        <w:trPr>
          <w:trHeight w:val="459" w:hRule="atLeast"/>
        </w:trPr>
        <w:tc>
          <w:tcPr>
            <w:tcW w:w="55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0"/>
              <w:ind w:left="55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1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1"/>
              <w:ind w:left="132"/>
              <w:rPr>
                <w:sz w:val="22"/>
              </w:rPr>
            </w:pPr>
            <w:r>
              <w:rPr>
                <w:sz w:val="22"/>
              </w:rPr>
              <w:t>Sole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crop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</w:t>
            </w:r>
            <w:r>
              <w:rPr>
                <w:spacing w:val="-2"/>
                <w:sz w:val="22"/>
              </w:rPr>
              <w:t>groundnut</w:t>
            </w:r>
          </w:p>
        </w:tc>
        <w:tc>
          <w:tcPr>
            <w:tcW w:w="3581" w:type="dxa"/>
            <w:gridSpan w:val="2"/>
            <w:tcBorders>
              <w:top w:val="single" w:sz="8" w:space="0" w:color="000000"/>
            </w:tcBorders>
          </w:tcPr>
          <w:p>
            <w:pPr>
              <w:pStyle w:val="TableParagraph"/>
              <w:spacing w:before="101"/>
              <w:ind w:left="885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-</w:t>
            </w:r>
          </w:p>
        </w:tc>
        <w:tc>
          <w:tcPr>
            <w:tcW w:w="2050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1"/>
              <w:ind w:left="2" w:right="212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-</w:t>
            </w:r>
          </w:p>
        </w:tc>
      </w:tr>
      <w:tr>
        <w:trPr>
          <w:trHeight w:val="453" w:hRule="atLeast"/>
        </w:trPr>
        <w:tc>
          <w:tcPr>
            <w:tcW w:w="555" w:type="dxa"/>
          </w:tcPr>
          <w:p>
            <w:pPr>
              <w:pStyle w:val="TableParagraph"/>
              <w:spacing w:before="94"/>
              <w:ind w:left="55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2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ind w:left="132"/>
              <w:rPr>
                <w:sz w:val="22"/>
              </w:rPr>
            </w:pPr>
            <w:r>
              <w:rPr>
                <w:sz w:val="22"/>
              </w:rPr>
              <w:t>Sole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crop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foxtail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millet</w:t>
            </w:r>
          </w:p>
        </w:tc>
        <w:tc>
          <w:tcPr>
            <w:tcW w:w="3581" w:type="dxa"/>
            <w:gridSpan w:val="2"/>
          </w:tcPr>
          <w:p>
            <w:pPr>
              <w:pStyle w:val="TableParagraph"/>
              <w:ind w:left="2013"/>
              <w:rPr>
                <w:sz w:val="22"/>
              </w:rPr>
            </w:pPr>
            <w:r>
              <w:rPr>
                <w:spacing w:val="-4"/>
                <w:sz w:val="22"/>
              </w:rPr>
              <w:t>1365</w:t>
            </w:r>
          </w:p>
        </w:tc>
        <w:tc>
          <w:tcPr>
            <w:tcW w:w="2050" w:type="dxa"/>
          </w:tcPr>
          <w:p>
            <w:pPr>
              <w:pStyle w:val="TableParagraph"/>
              <w:ind w:left="5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2568</w:t>
            </w:r>
          </w:p>
        </w:tc>
      </w:tr>
      <w:tr>
        <w:trPr>
          <w:trHeight w:val="453" w:hRule="atLeast"/>
        </w:trPr>
        <w:tc>
          <w:tcPr>
            <w:tcW w:w="555" w:type="dxa"/>
          </w:tcPr>
          <w:p>
            <w:pPr>
              <w:pStyle w:val="TableParagraph"/>
              <w:spacing w:before="94"/>
              <w:ind w:left="55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3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ind w:left="132"/>
              <w:rPr>
                <w:sz w:val="22"/>
              </w:rPr>
            </w:pPr>
            <w:r>
              <w:rPr>
                <w:sz w:val="22"/>
              </w:rPr>
              <w:t>Sole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crop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finger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millet</w:t>
            </w:r>
          </w:p>
        </w:tc>
        <w:tc>
          <w:tcPr>
            <w:tcW w:w="3581" w:type="dxa"/>
            <w:gridSpan w:val="2"/>
          </w:tcPr>
          <w:p>
            <w:pPr>
              <w:pStyle w:val="TableParagraph"/>
              <w:ind w:left="2013"/>
              <w:rPr>
                <w:sz w:val="22"/>
              </w:rPr>
            </w:pPr>
            <w:r>
              <w:rPr>
                <w:spacing w:val="-4"/>
                <w:sz w:val="22"/>
              </w:rPr>
              <w:t>2180</w:t>
            </w:r>
          </w:p>
        </w:tc>
        <w:tc>
          <w:tcPr>
            <w:tcW w:w="2050" w:type="dxa"/>
          </w:tcPr>
          <w:p>
            <w:pPr>
              <w:pStyle w:val="TableParagraph"/>
              <w:ind w:left="5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3590</w:t>
            </w:r>
          </w:p>
        </w:tc>
      </w:tr>
      <w:tr>
        <w:trPr>
          <w:trHeight w:val="452" w:hRule="atLeast"/>
        </w:trPr>
        <w:tc>
          <w:tcPr>
            <w:tcW w:w="555" w:type="dxa"/>
          </w:tcPr>
          <w:p>
            <w:pPr>
              <w:pStyle w:val="TableParagraph"/>
              <w:spacing w:before="94"/>
              <w:ind w:left="55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4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ind w:left="132"/>
              <w:rPr>
                <w:sz w:val="22"/>
              </w:rPr>
            </w:pPr>
            <w:r>
              <w:rPr>
                <w:sz w:val="22"/>
              </w:rPr>
              <w:t>Sole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crop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little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millet</w:t>
            </w:r>
          </w:p>
        </w:tc>
        <w:tc>
          <w:tcPr>
            <w:tcW w:w="3581" w:type="dxa"/>
            <w:gridSpan w:val="2"/>
          </w:tcPr>
          <w:p>
            <w:pPr>
              <w:pStyle w:val="TableParagraph"/>
              <w:ind w:left="2013"/>
              <w:rPr>
                <w:sz w:val="22"/>
              </w:rPr>
            </w:pPr>
            <w:r>
              <w:rPr>
                <w:spacing w:val="-4"/>
                <w:sz w:val="22"/>
              </w:rPr>
              <w:t>1254</w:t>
            </w:r>
          </w:p>
        </w:tc>
        <w:tc>
          <w:tcPr>
            <w:tcW w:w="2050" w:type="dxa"/>
          </w:tcPr>
          <w:p>
            <w:pPr>
              <w:pStyle w:val="TableParagraph"/>
              <w:ind w:left="5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1619</w:t>
            </w:r>
          </w:p>
        </w:tc>
      </w:tr>
      <w:tr>
        <w:trPr>
          <w:trHeight w:val="452" w:hRule="atLeast"/>
        </w:trPr>
        <w:tc>
          <w:tcPr>
            <w:tcW w:w="555" w:type="dxa"/>
          </w:tcPr>
          <w:p>
            <w:pPr>
              <w:pStyle w:val="TableParagraph"/>
              <w:spacing w:before="93"/>
              <w:ind w:left="55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5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spacing w:before="94"/>
              <w:ind w:left="132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little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(5:2)</w:t>
            </w:r>
          </w:p>
        </w:tc>
        <w:tc>
          <w:tcPr>
            <w:tcW w:w="3581" w:type="dxa"/>
            <w:gridSpan w:val="2"/>
          </w:tcPr>
          <w:p>
            <w:pPr>
              <w:pStyle w:val="TableParagraph"/>
              <w:spacing w:before="94"/>
              <w:ind w:left="2066"/>
              <w:rPr>
                <w:sz w:val="22"/>
              </w:rPr>
            </w:pPr>
            <w:r>
              <w:rPr>
                <w:spacing w:val="-5"/>
                <w:sz w:val="22"/>
              </w:rPr>
              <w:t>502</w:t>
            </w:r>
          </w:p>
        </w:tc>
        <w:tc>
          <w:tcPr>
            <w:tcW w:w="2050" w:type="dxa"/>
          </w:tcPr>
          <w:p>
            <w:pPr>
              <w:pStyle w:val="TableParagraph"/>
              <w:spacing w:before="94"/>
              <w:ind w:right="212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864</w:t>
            </w:r>
          </w:p>
        </w:tc>
      </w:tr>
      <w:tr>
        <w:trPr>
          <w:trHeight w:val="453" w:hRule="atLeast"/>
        </w:trPr>
        <w:tc>
          <w:tcPr>
            <w:tcW w:w="555" w:type="dxa"/>
          </w:tcPr>
          <w:p>
            <w:pPr>
              <w:pStyle w:val="TableParagraph"/>
              <w:spacing w:before="94"/>
              <w:ind w:left="55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6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ind w:left="132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foxtail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(5:2)</w:t>
            </w:r>
          </w:p>
        </w:tc>
        <w:tc>
          <w:tcPr>
            <w:tcW w:w="3581" w:type="dxa"/>
            <w:gridSpan w:val="2"/>
          </w:tcPr>
          <w:p>
            <w:pPr>
              <w:pStyle w:val="TableParagraph"/>
              <w:ind w:left="2066"/>
              <w:rPr>
                <w:sz w:val="22"/>
              </w:rPr>
            </w:pPr>
            <w:r>
              <w:rPr>
                <w:spacing w:val="-5"/>
                <w:sz w:val="22"/>
              </w:rPr>
              <w:t>549</w:t>
            </w:r>
          </w:p>
        </w:tc>
        <w:tc>
          <w:tcPr>
            <w:tcW w:w="2050" w:type="dxa"/>
          </w:tcPr>
          <w:p>
            <w:pPr>
              <w:pStyle w:val="TableParagraph"/>
              <w:ind w:left="5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1632</w:t>
            </w:r>
          </w:p>
        </w:tc>
      </w:tr>
      <w:tr>
        <w:trPr>
          <w:trHeight w:val="453" w:hRule="atLeast"/>
        </w:trPr>
        <w:tc>
          <w:tcPr>
            <w:tcW w:w="555" w:type="dxa"/>
          </w:tcPr>
          <w:p>
            <w:pPr>
              <w:pStyle w:val="TableParagraph"/>
              <w:spacing w:before="94"/>
              <w:ind w:left="55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7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ind w:left="132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finger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(5:2)</w:t>
            </w:r>
          </w:p>
        </w:tc>
        <w:tc>
          <w:tcPr>
            <w:tcW w:w="3581" w:type="dxa"/>
            <w:gridSpan w:val="2"/>
          </w:tcPr>
          <w:p>
            <w:pPr>
              <w:pStyle w:val="TableParagraph"/>
              <w:ind w:left="2013"/>
              <w:rPr>
                <w:sz w:val="22"/>
              </w:rPr>
            </w:pPr>
            <w:r>
              <w:rPr>
                <w:spacing w:val="-4"/>
                <w:sz w:val="22"/>
              </w:rPr>
              <w:t>1395</w:t>
            </w:r>
          </w:p>
        </w:tc>
        <w:tc>
          <w:tcPr>
            <w:tcW w:w="2050" w:type="dxa"/>
          </w:tcPr>
          <w:p>
            <w:pPr>
              <w:pStyle w:val="TableParagraph"/>
              <w:ind w:left="5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2214</w:t>
            </w:r>
          </w:p>
        </w:tc>
      </w:tr>
      <w:tr>
        <w:trPr>
          <w:trHeight w:val="452" w:hRule="atLeast"/>
        </w:trPr>
        <w:tc>
          <w:tcPr>
            <w:tcW w:w="555" w:type="dxa"/>
          </w:tcPr>
          <w:p>
            <w:pPr>
              <w:pStyle w:val="TableParagraph"/>
              <w:spacing w:before="94"/>
              <w:ind w:left="55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8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ind w:left="132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little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(5:4)</w:t>
            </w:r>
          </w:p>
        </w:tc>
        <w:tc>
          <w:tcPr>
            <w:tcW w:w="3581" w:type="dxa"/>
            <w:gridSpan w:val="2"/>
          </w:tcPr>
          <w:p>
            <w:pPr>
              <w:pStyle w:val="TableParagraph"/>
              <w:ind w:left="2013"/>
              <w:rPr>
                <w:sz w:val="22"/>
              </w:rPr>
            </w:pPr>
            <w:r>
              <w:rPr>
                <w:spacing w:val="-4"/>
                <w:sz w:val="22"/>
              </w:rPr>
              <w:t>1017</w:t>
            </w:r>
          </w:p>
        </w:tc>
        <w:tc>
          <w:tcPr>
            <w:tcW w:w="2050" w:type="dxa"/>
          </w:tcPr>
          <w:p>
            <w:pPr>
              <w:pStyle w:val="TableParagraph"/>
              <w:ind w:left="5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1396</w:t>
            </w:r>
          </w:p>
        </w:tc>
      </w:tr>
      <w:tr>
        <w:trPr>
          <w:trHeight w:val="452" w:hRule="atLeast"/>
        </w:trPr>
        <w:tc>
          <w:tcPr>
            <w:tcW w:w="555" w:type="dxa"/>
          </w:tcPr>
          <w:p>
            <w:pPr>
              <w:pStyle w:val="TableParagraph"/>
              <w:spacing w:before="93"/>
              <w:ind w:left="55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9</w:t>
            </w:r>
            <w:r>
              <w:rPr>
                <w:spacing w:val="42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</w:tcPr>
          <w:p>
            <w:pPr>
              <w:pStyle w:val="TableParagraph"/>
              <w:spacing w:before="94"/>
              <w:ind w:left="132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foxtail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(5:4)</w:t>
            </w:r>
          </w:p>
        </w:tc>
        <w:tc>
          <w:tcPr>
            <w:tcW w:w="3581" w:type="dxa"/>
            <w:gridSpan w:val="2"/>
          </w:tcPr>
          <w:p>
            <w:pPr>
              <w:pStyle w:val="TableParagraph"/>
              <w:spacing w:before="94"/>
              <w:ind w:left="2013"/>
              <w:rPr>
                <w:sz w:val="22"/>
              </w:rPr>
            </w:pPr>
            <w:r>
              <w:rPr>
                <w:spacing w:val="-4"/>
                <w:sz w:val="22"/>
              </w:rPr>
              <w:t>1143</w:t>
            </w:r>
          </w:p>
        </w:tc>
        <w:tc>
          <w:tcPr>
            <w:tcW w:w="2050" w:type="dxa"/>
          </w:tcPr>
          <w:p>
            <w:pPr>
              <w:pStyle w:val="TableParagraph"/>
              <w:spacing w:before="94"/>
              <w:ind w:left="5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2253</w:t>
            </w:r>
          </w:p>
        </w:tc>
      </w:tr>
      <w:tr>
        <w:trPr>
          <w:trHeight w:val="446" w:hRule="atLeast"/>
        </w:trPr>
        <w:tc>
          <w:tcPr>
            <w:tcW w:w="55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4"/>
              <w:ind w:left="55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10</w:t>
            </w:r>
            <w:r>
              <w:rPr>
                <w:spacing w:val="48"/>
                <w:sz w:val="14"/>
              </w:rPr>
              <w:t>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985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132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finger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(5:4)</w:t>
            </w:r>
          </w:p>
        </w:tc>
        <w:tc>
          <w:tcPr>
            <w:tcW w:w="3581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ind w:left="2013"/>
              <w:rPr>
                <w:sz w:val="22"/>
              </w:rPr>
            </w:pPr>
            <w:r>
              <w:rPr>
                <w:spacing w:val="-4"/>
                <w:sz w:val="22"/>
              </w:rPr>
              <w:t>1900</w:t>
            </w:r>
          </w:p>
        </w:tc>
        <w:tc>
          <w:tcPr>
            <w:tcW w:w="2050" w:type="dxa"/>
            <w:tcBorders>
              <w:bottom w:val="single" w:sz="8" w:space="0" w:color="000000"/>
            </w:tcBorders>
          </w:tcPr>
          <w:p>
            <w:pPr>
              <w:pStyle w:val="TableParagraph"/>
              <w:ind w:left="5" w:right="21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2920</w:t>
            </w:r>
          </w:p>
        </w:tc>
      </w:tr>
    </w:tbl>
    <w:p>
      <w:pPr>
        <w:pStyle w:val="TableParagraph"/>
        <w:spacing w:after="0"/>
        <w:jc w:val="center"/>
        <w:rPr>
          <w:sz w:val="22"/>
        </w:rPr>
        <w:sectPr>
          <w:pgSz w:w="12480" w:h="15880"/>
          <w:pgMar w:header="0" w:footer="988" w:top="860" w:bottom="1180" w:left="1133" w:right="992"/>
        </w:sectPr>
      </w:pPr>
    </w:p>
    <w:p>
      <w:pPr>
        <w:spacing w:before="65"/>
        <w:ind w:left="10" w:right="149" w:firstLine="0"/>
        <w:jc w:val="center"/>
        <w:rPr>
          <w:sz w:val="22"/>
        </w:rPr>
      </w:pPr>
      <w:r>
        <w:rPr>
          <w:color w:val="231F20"/>
          <w:sz w:val="22"/>
        </w:rPr>
        <w:t>Effect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of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groundnut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...</w:t>
      </w:r>
      <w:r>
        <w:rPr>
          <w:color w:val="231F20"/>
          <w:spacing w:val="-4"/>
          <w:sz w:val="22"/>
        </w:rPr>
        <w:t> </w:t>
      </w:r>
      <w:r>
        <w:rPr>
          <w:color w:val="231F20"/>
          <w:sz w:val="22"/>
        </w:rPr>
        <w:t>groundnut</w:t>
      </w:r>
      <w:r>
        <w:rPr>
          <w:color w:val="231F20"/>
          <w:spacing w:val="-3"/>
          <w:sz w:val="22"/>
        </w:rPr>
        <w:t> </w:t>
      </w:r>
      <w:r>
        <w:rPr>
          <w:color w:val="231F20"/>
          <w:sz w:val="22"/>
        </w:rPr>
        <w:t>(</w:t>
      </w:r>
      <w:r>
        <w:rPr>
          <w:i/>
          <w:color w:val="231F20"/>
          <w:sz w:val="22"/>
        </w:rPr>
        <w:t>Arachis</w:t>
      </w:r>
      <w:r>
        <w:rPr>
          <w:i/>
          <w:color w:val="231F20"/>
          <w:spacing w:val="-4"/>
          <w:sz w:val="22"/>
        </w:rPr>
        <w:t> </w:t>
      </w:r>
      <w:r>
        <w:rPr>
          <w:i/>
          <w:color w:val="231F20"/>
          <w:sz w:val="22"/>
        </w:rPr>
        <w:t>hypogaea</w:t>
      </w:r>
      <w:r>
        <w:rPr>
          <w:i/>
          <w:color w:val="231F20"/>
          <w:spacing w:val="-4"/>
          <w:sz w:val="22"/>
        </w:rPr>
        <w:t> </w:t>
      </w:r>
      <w:r>
        <w:rPr>
          <w:color w:val="231F20"/>
          <w:spacing w:val="-5"/>
          <w:sz w:val="22"/>
        </w:rPr>
        <w:t>L.)</w:t>
      </w:r>
    </w:p>
    <w:p>
      <w:pPr>
        <w:pStyle w:val="BodyText"/>
        <w:spacing w:before="132"/>
        <w:ind w:left="0"/>
        <w:jc w:val="left"/>
      </w:pPr>
    </w:p>
    <w:p>
      <w:pPr>
        <w:pStyle w:val="Heading2"/>
        <w:spacing w:line="249" w:lineRule="auto"/>
        <w:ind w:left="831" w:hanging="830"/>
      </w:pPr>
      <w:r>
        <w:rPr>
          <w:color w:val="231F20"/>
        </w:rPr>
        <w:t>Table</w:t>
      </w:r>
      <w:r>
        <w:rPr>
          <w:color w:val="231F20"/>
          <w:spacing w:val="-7"/>
        </w:rPr>
        <w:t> </w:t>
      </w:r>
      <w:r>
        <w:rPr>
          <w:color w:val="231F20"/>
        </w:rPr>
        <w:t>3.</w:t>
      </w:r>
      <w:r>
        <w:rPr>
          <w:color w:val="231F20"/>
          <w:spacing w:val="-7"/>
        </w:rPr>
        <w:t> </w:t>
      </w:r>
      <w:r>
        <w:rPr>
          <w:color w:val="231F20"/>
        </w:rPr>
        <w:t>Gross</w:t>
      </w:r>
      <w:r>
        <w:rPr>
          <w:color w:val="231F20"/>
          <w:spacing w:val="-8"/>
        </w:rPr>
        <w:t> </w:t>
      </w:r>
      <w:r>
        <w:rPr>
          <w:color w:val="231F20"/>
        </w:rPr>
        <w:t>returns,</w:t>
      </w:r>
      <w:r>
        <w:rPr>
          <w:color w:val="231F20"/>
          <w:spacing w:val="-7"/>
        </w:rPr>
        <w:t> </w:t>
      </w:r>
      <w:r>
        <w:rPr>
          <w:color w:val="231F20"/>
        </w:rPr>
        <w:t>net</w:t>
      </w:r>
      <w:r>
        <w:rPr>
          <w:color w:val="231F20"/>
          <w:spacing w:val="-7"/>
        </w:rPr>
        <w:t> </w:t>
      </w:r>
      <w:r>
        <w:rPr>
          <w:color w:val="231F20"/>
        </w:rPr>
        <w:t>returns</w:t>
      </w:r>
      <w:r>
        <w:rPr>
          <w:color w:val="231F20"/>
          <w:spacing w:val="-8"/>
        </w:rPr>
        <w:t> </w:t>
      </w:r>
      <w:r>
        <w:rPr>
          <w:color w:val="231F20"/>
        </w:rPr>
        <w:t>(₹</w:t>
      </w:r>
      <w:r>
        <w:rPr>
          <w:color w:val="231F20"/>
          <w:spacing w:val="-7"/>
        </w:rPr>
        <w:t> </w:t>
      </w:r>
      <w:r>
        <w:rPr>
          <w:color w:val="231F20"/>
        </w:rPr>
        <w:t>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</w:t>
      </w:r>
      <w:r>
        <w:rPr>
          <w:color w:val="231F20"/>
          <w:spacing w:val="-7"/>
        </w:rPr>
        <w:t> </w:t>
      </w:r>
      <w:r>
        <w:rPr>
          <w:color w:val="231F20"/>
        </w:rPr>
        <w:t>and</w:t>
      </w:r>
      <w:r>
        <w:rPr>
          <w:color w:val="231F20"/>
          <w:spacing w:val="-8"/>
        </w:rPr>
        <w:t> </w:t>
      </w:r>
      <w:r>
        <w:rPr>
          <w:color w:val="231F20"/>
        </w:rPr>
        <w:t>benefit:</w:t>
      </w:r>
      <w:r>
        <w:rPr>
          <w:color w:val="231F20"/>
          <w:spacing w:val="-7"/>
        </w:rPr>
        <w:t> </w:t>
      </w:r>
      <w:r>
        <w:rPr>
          <w:color w:val="231F20"/>
        </w:rPr>
        <w:t>cost</w:t>
      </w:r>
      <w:r>
        <w:rPr>
          <w:color w:val="231F20"/>
          <w:spacing w:val="-7"/>
        </w:rPr>
        <w:t> </w:t>
      </w:r>
      <w:r>
        <w:rPr>
          <w:color w:val="231F20"/>
        </w:rPr>
        <w:t>ratio</w:t>
      </w:r>
      <w:r>
        <w:rPr>
          <w:color w:val="231F20"/>
          <w:spacing w:val="-7"/>
        </w:rPr>
        <w:t> </w:t>
      </w:r>
      <w:r>
        <w:rPr>
          <w:color w:val="231F20"/>
        </w:rPr>
        <w:t>as</w:t>
      </w:r>
      <w:r>
        <w:rPr>
          <w:color w:val="231F20"/>
          <w:spacing w:val="-8"/>
        </w:rPr>
        <w:t> </w:t>
      </w:r>
      <w:r>
        <w:rPr>
          <w:color w:val="231F20"/>
        </w:rPr>
        <w:t>influenced</w:t>
      </w:r>
      <w:r>
        <w:rPr>
          <w:color w:val="231F20"/>
          <w:spacing w:val="-8"/>
        </w:rPr>
        <w:t> </w:t>
      </w:r>
      <w:r>
        <w:rPr>
          <w:color w:val="231F20"/>
        </w:rPr>
        <w:t>by</w:t>
      </w:r>
      <w:r>
        <w:rPr>
          <w:color w:val="231F20"/>
          <w:spacing w:val="-7"/>
        </w:rPr>
        <w:t> </w:t>
      </w:r>
      <w:r>
        <w:rPr>
          <w:color w:val="231F20"/>
        </w:rPr>
        <w:t>different</w:t>
      </w:r>
      <w:r>
        <w:rPr>
          <w:color w:val="231F20"/>
          <w:spacing w:val="-7"/>
        </w:rPr>
        <w:t> </w:t>
      </w:r>
      <w:r>
        <w:rPr>
          <w:color w:val="231F20"/>
        </w:rPr>
        <w:t>groundnut</w:t>
      </w:r>
      <w:r>
        <w:rPr>
          <w:color w:val="231F20"/>
          <w:spacing w:val="-7"/>
        </w:rPr>
        <w:t> </w:t>
      </w:r>
      <w:r>
        <w:rPr>
          <w:color w:val="231F20"/>
        </w:rPr>
        <w:t>based intercropping systems</w:t>
      </w:r>
    </w:p>
    <w:p>
      <w:pPr>
        <w:pStyle w:val="BodyText"/>
        <w:spacing w:before="8"/>
        <w:ind w:left="0"/>
        <w:jc w:val="left"/>
        <w:rPr>
          <w:b/>
          <w:sz w:val="18"/>
        </w:rPr>
      </w:pPr>
    </w:p>
    <w:tbl>
      <w:tblPr>
        <w:tblW w:w="0" w:type="auto"/>
        <w:jc w:val="left"/>
        <w:tblInd w:w="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4"/>
        <w:gridCol w:w="3618"/>
        <w:gridCol w:w="2332"/>
        <w:gridCol w:w="1845"/>
        <w:gridCol w:w="1818"/>
      </w:tblGrid>
      <w:tr>
        <w:trPr>
          <w:trHeight w:val="704" w:hRule="atLeast"/>
        </w:trPr>
        <w:tc>
          <w:tcPr>
            <w:tcW w:w="51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361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28"/>
              <w:ind w:right="20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Treatment</w:t>
            </w:r>
          </w:p>
        </w:tc>
        <w:tc>
          <w:tcPr>
            <w:tcW w:w="233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28"/>
              <w:ind w:left="45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Gross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returns</w:t>
            </w:r>
          </w:p>
        </w:tc>
        <w:tc>
          <w:tcPr>
            <w:tcW w:w="18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28"/>
              <w:ind w:right="66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Net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returns</w:t>
            </w:r>
          </w:p>
        </w:tc>
        <w:tc>
          <w:tcPr>
            <w:tcW w:w="181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99"/>
              <w:ind w:left="419" w:right="165" w:firstLine="96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Benefit: </w:t>
            </w:r>
            <w:r>
              <w:rPr>
                <w:b/>
                <w:sz w:val="22"/>
              </w:rPr>
              <w:t>Cost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ratio</w:t>
            </w:r>
          </w:p>
        </w:tc>
      </w:tr>
      <w:tr>
        <w:trPr>
          <w:trHeight w:val="462" w:hRule="atLeast"/>
        </w:trPr>
        <w:tc>
          <w:tcPr>
            <w:tcW w:w="514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3"/>
              <w:ind w:right="41"/>
              <w:jc w:val="center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1</w:t>
            </w:r>
            <w:r>
              <w:rPr>
                <w:spacing w:val="51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61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4"/>
              <w:ind w:left="58"/>
              <w:rPr>
                <w:sz w:val="22"/>
              </w:rPr>
            </w:pPr>
            <w:r>
              <w:rPr>
                <w:sz w:val="22"/>
              </w:rPr>
              <w:t>Sole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crop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 </w:t>
            </w:r>
            <w:r>
              <w:rPr>
                <w:spacing w:val="-2"/>
                <w:sz w:val="22"/>
              </w:rPr>
              <w:t>groundnut</w:t>
            </w:r>
          </w:p>
        </w:tc>
        <w:tc>
          <w:tcPr>
            <w:tcW w:w="2332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4"/>
              <w:ind w:left="454" w:right="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106291</w:t>
            </w:r>
          </w:p>
        </w:tc>
        <w:tc>
          <w:tcPr>
            <w:tcW w:w="1845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4"/>
              <w:ind w:left="1" w:right="6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53731</w:t>
            </w:r>
          </w:p>
        </w:tc>
        <w:tc>
          <w:tcPr>
            <w:tcW w:w="1818" w:type="dxa"/>
            <w:tcBorders>
              <w:top w:val="single" w:sz="8" w:space="0" w:color="000000"/>
            </w:tcBorders>
          </w:tcPr>
          <w:p>
            <w:pPr>
              <w:pStyle w:val="TableParagraph"/>
              <w:spacing w:before="104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2.02</w:t>
            </w:r>
          </w:p>
        </w:tc>
      </w:tr>
      <w:tr>
        <w:trPr>
          <w:trHeight w:val="452" w:hRule="atLeast"/>
        </w:trPr>
        <w:tc>
          <w:tcPr>
            <w:tcW w:w="514" w:type="dxa"/>
          </w:tcPr>
          <w:p>
            <w:pPr>
              <w:pStyle w:val="TableParagraph"/>
              <w:spacing w:before="94"/>
              <w:ind w:right="41"/>
              <w:jc w:val="center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2</w:t>
            </w:r>
            <w:r>
              <w:rPr>
                <w:spacing w:val="51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618" w:type="dxa"/>
          </w:tcPr>
          <w:p>
            <w:pPr>
              <w:pStyle w:val="TableParagraph"/>
              <w:ind w:left="58"/>
              <w:rPr>
                <w:sz w:val="22"/>
              </w:rPr>
            </w:pPr>
            <w:r>
              <w:rPr>
                <w:sz w:val="22"/>
              </w:rPr>
              <w:t>Sole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crop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foxtail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millet</w:t>
            </w:r>
          </w:p>
        </w:tc>
        <w:tc>
          <w:tcPr>
            <w:tcW w:w="2332" w:type="dxa"/>
          </w:tcPr>
          <w:p>
            <w:pPr>
              <w:pStyle w:val="TableParagraph"/>
              <w:ind w:left="454" w:right="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42234</w:t>
            </w:r>
          </w:p>
        </w:tc>
        <w:tc>
          <w:tcPr>
            <w:tcW w:w="1845" w:type="dxa"/>
          </w:tcPr>
          <w:p>
            <w:pPr>
              <w:pStyle w:val="TableParagraph"/>
              <w:ind w:left="1" w:right="6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16219</w:t>
            </w:r>
          </w:p>
        </w:tc>
        <w:tc>
          <w:tcPr>
            <w:tcW w:w="1818" w:type="dxa"/>
          </w:tcPr>
          <w:p>
            <w:pPr>
              <w:pStyle w:val="TableParagraph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1.62</w:t>
            </w:r>
          </w:p>
        </w:tc>
      </w:tr>
      <w:tr>
        <w:trPr>
          <w:trHeight w:val="452" w:hRule="atLeast"/>
        </w:trPr>
        <w:tc>
          <w:tcPr>
            <w:tcW w:w="514" w:type="dxa"/>
          </w:tcPr>
          <w:p>
            <w:pPr>
              <w:pStyle w:val="TableParagraph"/>
              <w:spacing w:before="93"/>
              <w:ind w:right="41"/>
              <w:jc w:val="center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3</w:t>
            </w:r>
            <w:r>
              <w:rPr>
                <w:spacing w:val="51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618" w:type="dxa"/>
          </w:tcPr>
          <w:p>
            <w:pPr>
              <w:pStyle w:val="TableParagraph"/>
              <w:spacing w:before="94"/>
              <w:ind w:left="58"/>
              <w:rPr>
                <w:sz w:val="22"/>
              </w:rPr>
            </w:pPr>
            <w:r>
              <w:rPr>
                <w:sz w:val="22"/>
              </w:rPr>
              <w:t>Sole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crop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finger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millet</w:t>
            </w:r>
          </w:p>
        </w:tc>
        <w:tc>
          <w:tcPr>
            <w:tcW w:w="2332" w:type="dxa"/>
          </w:tcPr>
          <w:p>
            <w:pPr>
              <w:pStyle w:val="TableParagraph"/>
              <w:spacing w:before="94"/>
              <w:ind w:left="454" w:right="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67195</w:t>
            </w:r>
          </w:p>
        </w:tc>
        <w:tc>
          <w:tcPr>
            <w:tcW w:w="1845" w:type="dxa"/>
          </w:tcPr>
          <w:p>
            <w:pPr>
              <w:pStyle w:val="TableParagraph"/>
              <w:spacing w:before="94"/>
              <w:ind w:left="1" w:right="6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40400</w:t>
            </w:r>
          </w:p>
        </w:tc>
        <w:tc>
          <w:tcPr>
            <w:tcW w:w="1818" w:type="dxa"/>
          </w:tcPr>
          <w:p>
            <w:pPr>
              <w:pStyle w:val="TableParagraph"/>
              <w:spacing w:before="94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2.51</w:t>
            </w:r>
          </w:p>
        </w:tc>
      </w:tr>
      <w:tr>
        <w:trPr>
          <w:trHeight w:val="453" w:hRule="atLeast"/>
        </w:trPr>
        <w:tc>
          <w:tcPr>
            <w:tcW w:w="514" w:type="dxa"/>
          </w:tcPr>
          <w:p>
            <w:pPr>
              <w:pStyle w:val="TableParagraph"/>
              <w:spacing w:before="94"/>
              <w:ind w:right="41"/>
              <w:jc w:val="center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4</w:t>
            </w:r>
            <w:r>
              <w:rPr>
                <w:spacing w:val="51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618" w:type="dxa"/>
          </w:tcPr>
          <w:p>
            <w:pPr>
              <w:pStyle w:val="TableParagraph"/>
              <w:ind w:left="58"/>
              <w:rPr>
                <w:sz w:val="22"/>
              </w:rPr>
            </w:pPr>
            <w:r>
              <w:rPr>
                <w:sz w:val="22"/>
              </w:rPr>
              <w:t>Sole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crop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little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millet</w:t>
            </w:r>
          </w:p>
        </w:tc>
        <w:tc>
          <w:tcPr>
            <w:tcW w:w="2332" w:type="dxa"/>
          </w:tcPr>
          <w:p>
            <w:pPr>
              <w:pStyle w:val="TableParagraph"/>
              <w:ind w:left="454" w:right="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38430</w:t>
            </w:r>
          </w:p>
        </w:tc>
        <w:tc>
          <w:tcPr>
            <w:tcW w:w="1845" w:type="dxa"/>
          </w:tcPr>
          <w:p>
            <w:pPr>
              <w:pStyle w:val="TableParagraph"/>
              <w:ind w:left="1" w:right="6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11145</w:t>
            </w:r>
          </w:p>
        </w:tc>
        <w:tc>
          <w:tcPr>
            <w:tcW w:w="1818" w:type="dxa"/>
          </w:tcPr>
          <w:p>
            <w:pPr>
              <w:pStyle w:val="TableParagraph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1.41</w:t>
            </w:r>
          </w:p>
        </w:tc>
      </w:tr>
      <w:tr>
        <w:trPr>
          <w:trHeight w:val="453" w:hRule="atLeast"/>
        </w:trPr>
        <w:tc>
          <w:tcPr>
            <w:tcW w:w="514" w:type="dxa"/>
          </w:tcPr>
          <w:p>
            <w:pPr>
              <w:pStyle w:val="TableParagraph"/>
              <w:spacing w:before="94"/>
              <w:ind w:right="41"/>
              <w:jc w:val="center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5</w:t>
            </w:r>
            <w:r>
              <w:rPr>
                <w:spacing w:val="51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618" w:type="dxa"/>
          </w:tcPr>
          <w:p>
            <w:pPr>
              <w:pStyle w:val="TableParagraph"/>
              <w:ind w:left="58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little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(5:2)</w:t>
            </w:r>
          </w:p>
        </w:tc>
        <w:tc>
          <w:tcPr>
            <w:tcW w:w="2332" w:type="dxa"/>
          </w:tcPr>
          <w:p>
            <w:pPr>
              <w:pStyle w:val="TableParagraph"/>
              <w:ind w:left="454" w:right="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99723</w:t>
            </w:r>
          </w:p>
        </w:tc>
        <w:tc>
          <w:tcPr>
            <w:tcW w:w="1845" w:type="dxa"/>
          </w:tcPr>
          <w:p>
            <w:pPr>
              <w:pStyle w:val="TableParagraph"/>
              <w:ind w:left="1" w:right="6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49192</w:t>
            </w:r>
          </w:p>
        </w:tc>
        <w:tc>
          <w:tcPr>
            <w:tcW w:w="1818" w:type="dxa"/>
          </w:tcPr>
          <w:p>
            <w:pPr>
              <w:pStyle w:val="TableParagraph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1.97</w:t>
            </w:r>
          </w:p>
        </w:tc>
      </w:tr>
      <w:tr>
        <w:trPr>
          <w:trHeight w:val="452" w:hRule="atLeast"/>
        </w:trPr>
        <w:tc>
          <w:tcPr>
            <w:tcW w:w="514" w:type="dxa"/>
          </w:tcPr>
          <w:p>
            <w:pPr>
              <w:pStyle w:val="TableParagraph"/>
              <w:spacing w:before="94"/>
              <w:ind w:right="41"/>
              <w:jc w:val="center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6</w:t>
            </w:r>
            <w:r>
              <w:rPr>
                <w:spacing w:val="51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618" w:type="dxa"/>
          </w:tcPr>
          <w:p>
            <w:pPr>
              <w:pStyle w:val="TableParagraph"/>
              <w:ind w:left="58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foxtail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(5:2)</w:t>
            </w:r>
          </w:p>
        </w:tc>
        <w:tc>
          <w:tcPr>
            <w:tcW w:w="2332" w:type="dxa"/>
          </w:tcPr>
          <w:p>
            <w:pPr>
              <w:pStyle w:val="TableParagraph"/>
              <w:ind w:left="454" w:right="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106511</w:t>
            </w:r>
          </w:p>
        </w:tc>
        <w:tc>
          <w:tcPr>
            <w:tcW w:w="1845" w:type="dxa"/>
          </w:tcPr>
          <w:p>
            <w:pPr>
              <w:pStyle w:val="TableParagraph"/>
              <w:ind w:left="1" w:right="6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56121</w:t>
            </w:r>
          </w:p>
        </w:tc>
        <w:tc>
          <w:tcPr>
            <w:tcW w:w="1818" w:type="dxa"/>
          </w:tcPr>
          <w:p>
            <w:pPr>
              <w:pStyle w:val="TableParagraph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2.11</w:t>
            </w:r>
          </w:p>
        </w:tc>
      </w:tr>
      <w:tr>
        <w:trPr>
          <w:trHeight w:val="452" w:hRule="atLeast"/>
        </w:trPr>
        <w:tc>
          <w:tcPr>
            <w:tcW w:w="514" w:type="dxa"/>
          </w:tcPr>
          <w:p>
            <w:pPr>
              <w:pStyle w:val="TableParagraph"/>
              <w:spacing w:before="93"/>
              <w:ind w:right="41"/>
              <w:jc w:val="center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7</w:t>
            </w:r>
            <w:r>
              <w:rPr>
                <w:spacing w:val="51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618" w:type="dxa"/>
          </w:tcPr>
          <w:p>
            <w:pPr>
              <w:pStyle w:val="TableParagraph"/>
              <w:spacing w:before="94"/>
              <w:ind w:left="58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finger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(5:2)</w:t>
            </w:r>
          </w:p>
        </w:tc>
        <w:tc>
          <w:tcPr>
            <w:tcW w:w="2332" w:type="dxa"/>
          </w:tcPr>
          <w:p>
            <w:pPr>
              <w:pStyle w:val="TableParagraph"/>
              <w:spacing w:before="94"/>
              <w:ind w:left="454" w:right="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138346</w:t>
            </w:r>
          </w:p>
        </w:tc>
        <w:tc>
          <w:tcPr>
            <w:tcW w:w="1845" w:type="dxa"/>
          </w:tcPr>
          <w:p>
            <w:pPr>
              <w:pStyle w:val="TableParagraph"/>
              <w:spacing w:before="94"/>
              <w:ind w:left="1" w:right="6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87982</w:t>
            </w:r>
          </w:p>
        </w:tc>
        <w:tc>
          <w:tcPr>
            <w:tcW w:w="1818" w:type="dxa"/>
          </w:tcPr>
          <w:p>
            <w:pPr>
              <w:pStyle w:val="TableParagraph"/>
              <w:spacing w:before="94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2.76</w:t>
            </w:r>
          </w:p>
        </w:tc>
      </w:tr>
      <w:tr>
        <w:trPr>
          <w:trHeight w:val="453" w:hRule="atLeast"/>
        </w:trPr>
        <w:tc>
          <w:tcPr>
            <w:tcW w:w="514" w:type="dxa"/>
          </w:tcPr>
          <w:p>
            <w:pPr>
              <w:pStyle w:val="TableParagraph"/>
              <w:spacing w:before="94"/>
              <w:ind w:right="41"/>
              <w:jc w:val="center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8</w:t>
            </w:r>
            <w:r>
              <w:rPr>
                <w:spacing w:val="51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618" w:type="dxa"/>
          </w:tcPr>
          <w:p>
            <w:pPr>
              <w:pStyle w:val="TableParagraph"/>
              <w:ind w:left="58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little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(5:4)</w:t>
            </w:r>
          </w:p>
        </w:tc>
        <w:tc>
          <w:tcPr>
            <w:tcW w:w="2332" w:type="dxa"/>
          </w:tcPr>
          <w:p>
            <w:pPr>
              <w:pStyle w:val="TableParagraph"/>
              <w:ind w:left="454" w:right="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80358</w:t>
            </w:r>
          </w:p>
        </w:tc>
        <w:tc>
          <w:tcPr>
            <w:tcW w:w="1845" w:type="dxa"/>
          </w:tcPr>
          <w:p>
            <w:pPr>
              <w:pStyle w:val="TableParagraph"/>
              <w:ind w:left="1" w:right="6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29827</w:t>
            </w:r>
          </w:p>
        </w:tc>
        <w:tc>
          <w:tcPr>
            <w:tcW w:w="1818" w:type="dxa"/>
          </w:tcPr>
          <w:p>
            <w:pPr>
              <w:pStyle w:val="TableParagraph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1.59</w:t>
            </w:r>
          </w:p>
        </w:tc>
      </w:tr>
      <w:tr>
        <w:trPr>
          <w:trHeight w:val="452" w:hRule="atLeast"/>
        </w:trPr>
        <w:tc>
          <w:tcPr>
            <w:tcW w:w="514" w:type="dxa"/>
          </w:tcPr>
          <w:p>
            <w:pPr>
              <w:pStyle w:val="TableParagraph"/>
              <w:spacing w:before="94"/>
              <w:ind w:right="41"/>
              <w:jc w:val="center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9</w:t>
            </w:r>
            <w:r>
              <w:rPr>
                <w:spacing w:val="51"/>
                <w:sz w:val="14"/>
              </w:rPr>
              <w:t> 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618" w:type="dxa"/>
          </w:tcPr>
          <w:p>
            <w:pPr>
              <w:pStyle w:val="TableParagraph"/>
              <w:ind w:left="58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foxtail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(5:4)</w:t>
            </w:r>
          </w:p>
        </w:tc>
        <w:tc>
          <w:tcPr>
            <w:tcW w:w="2332" w:type="dxa"/>
          </w:tcPr>
          <w:p>
            <w:pPr>
              <w:pStyle w:val="TableParagraph"/>
              <w:ind w:left="454" w:right="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98945</w:t>
            </w:r>
          </w:p>
        </w:tc>
        <w:tc>
          <w:tcPr>
            <w:tcW w:w="1845" w:type="dxa"/>
          </w:tcPr>
          <w:p>
            <w:pPr>
              <w:pStyle w:val="TableParagraph"/>
              <w:ind w:left="1" w:right="6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48556</w:t>
            </w:r>
          </w:p>
        </w:tc>
        <w:tc>
          <w:tcPr>
            <w:tcW w:w="1818" w:type="dxa"/>
          </w:tcPr>
          <w:p>
            <w:pPr>
              <w:pStyle w:val="TableParagraph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1.96</w:t>
            </w:r>
          </w:p>
        </w:tc>
      </w:tr>
      <w:tr>
        <w:trPr>
          <w:trHeight w:val="452" w:hRule="atLeast"/>
        </w:trPr>
        <w:tc>
          <w:tcPr>
            <w:tcW w:w="514" w:type="dxa"/>
          </w:tcPr>
          <w:p>
            <w:pPr>
              <w:pStyle w:val="TableParagraph"/>
              <w:spacing w:before="93"/>
              <w:ind w:right="41"/>
              <w:jc w:val="center"/>
              <w:rPr>
                <w:position w:val="2"/>
                <w:sz w:val="22"/>
              </w:rPr>
            </w:pPr>
            <w:r>
              <w:rPr>
                <w:position w:val="2"/>
                <w:sz w:val="22"/>
              </w:rPr>
              <w:t>T</w:t>
            </w:r>
            <w:r>
              <w:rPr>
                <w:sz w:val="14"/>
              </w:rPr>
              <w:t>10</w:t>
            </w:r>
            <w:r>
              <w:rPr>
                <w:spacing w:val="67"/>
                <w:sz w:val="14"/>
              </w:rPr>
              <w:t> </w:t>
            </w:r>
            <w:r>
              <w:rPr>
                <w:spacing w:val="-10"/>
                <w:position w:val="2"/>
                <w:sz w:val="22"/>
              </w:rPr>
              <w:t>:</w:t>
            </w:r>
          </w:p>
        </w:tc>
        <w:tc>
          <w:tcPr>
            <w:tcW w:w="3618" w:type="dxa"/>
          </w:tcPr>
          <w:p>
            <w:pPr>
              <w:pStyle w:val="TableParagraph"/>
              <w:spacing w:before="94"/>
              <w:ind w:left="58"/>
              <w:rPr>
                <w:sz w:val="22"/>
              </w:rPr>
            </w:pPr>
            <w:r>
              <w:rPr>
                <w:sz w:val="22"/>
              </w:rPr>
              <w:t>Groundnut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finger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millet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2"/>
                <w:sz w:val="22"/>
              </w:rPr>
              <w:t>(5:4)</w:t>
            </w:r>
          </w:p>
        </w:tc>
        <w:tc>
          <w:tcPr>
            <w:tcW w:w="2332" w:type="dxa"/>
          </w:tcPr>
          <w:p>
            <w:pPr>
              <w:pStyle w:val="TableParagraph"/>
              <w:spacing w:before="94"/>
              <w:ind w:left="454" w:right="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128158</w:t>
            </w:r>
          </w:p>
        </w:tc>
        <w:tc>
          <w:tcPr>
            <w:tcW w:w="1845" w:type="dxa"/>
          </w:tcPr>
          <w:p>
            <w:pPr>
              <w:pStyle w:val="TableParagraph"/>
              <w:spacing w:before="94"/>
              <w:ind w:left="1" w:right="6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77794</w:t>
            </w:r>
          </w:p>
        </w:tc>
        <w:tc>
          <w:tcPr>
            <w:tcW w:w="1818" w:type="dxa"/>
          </w:tcPr>
          <w:p>
            <w:pPr>
              <w:pStyle w:val="TableParagraph"/>
              <w:spacing w:before="94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2.54</w:t>
            </w:r>
          </w:p>
        </w:tc>
      </w:tr>
      <w:tr>
        <w:trPr>
          <w:trHeight w:val="452" w:hRule="atLeast"/>
        </w:trPr>
        <w:tc>
          <w:tcPr>
            <w:tcW w:w="4132" w:type="dxa"/>
            <w:gridSpan w:val="2"/>
          </w:tcPr>
          <w:p>
            <w:pPr>
              <w:pStyle w:val="TableParagraph"/>
              <w:ind w:left="14"/>
              <w:rPr>
                <w:sz w:val="22"/>
              </w:rPr>
            </w:pPr>
            <w:r>
              <w:rPr>
                <w:sz w:val="22"/>
              </w:rPr>
              <w:t>SEm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10"/>
                <w:sz w:val="22"/>
              </w:rPr>
              <w:t>±</w:t>
            </w:r>
          </w:p>
        </w:tc>
        <w:tc>
          <w:tcPr>
            <w:tcW w:w="2332" w:type="dxa"/>
          </w:tcPr>
          <w:p>
            <w:pPr>
              <w:pStyle w:val="TableParagraph"/>
              <w:ind w:left="454" w:right="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2698</w:t>
            </w:r>
          </w:p>
        </w:tc>
        <w:tc>
          <w:tcPr>
            <w:tcW w:w="1845" w:type="dxa"/>
          </w:tcPr>
          <w:p>
            <w:pPr>
              <w:pStyle w:val="TableParagraph"/>
              <w:ind w:left="1" w:right="66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2698</w:t>
            </w:r>
          </w:p>
        </w:tc>
        <w:tc>
          <w:tcPr>
            <w:tcW w:w="1818" w:type="dxa"/>
          </w:tcPr>
          <w:p>
            <w:pPr>
              <w:pStyle w:val="TableParagraph"/>
              <w:ind w:left="648"/>
              <w:rPr>
                <w:sz w:val="22"/>
              </w:rPr>
            </w:pPr>
            <w:r>
              <w:rPr>
                <w:spacing w:val="-4"/>
                <w:sz w:val="22"/>
              </w:rPr>
              <w:t>0.09</w:t>
            </w:r>
          </w:p>
        </w:tc>
      </w:tr>
      <w:tr>
        <w:trPr>
          <w:trHeight w:val="447" w:hRule="atLeast"/>
        </w:trPr>
        <w:tc>
          <w:tcPr>
            <w:tcW w:w="4132" w:type="dxa"/>
            <w:gridSpan w:val="2"/>
            <w:tcBorders>
              <w:bottom w:val="single" w:sz="8" w:space="0" w:color="000000"/>
            </w:tcBorders>
          </w:tcPr>
          <w:p>
            <w:pPr>
              <w:pStyle w:val="TableParagraph"/>
              <w:spacing w:before="96"/>
              <w:ind w:left="14"/>
              <w:rPr>
                <w:sz w:val="22"/>
              </w:rPr>
            </w:pPr>
            <w:r>
              <w:rPr>
                <w:sz w:val="22"/>
              </w:rPr>
              <w:t>CD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(P=0.05)</w:t>
            </w:r>
          </w:p>
        </w:tc>
        <w:tc>
          <w:tcPr>
            <w:tcW w:w="2332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6"/>
              <w:ind w:left="454" w:right="2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8016</w:t>
            </w:r>
          </w:p>
        </w:tc>
        <w:tc>
          <w:tcPr>
            <w:tcW w:w="184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6"/>
              <w:ind w:left="1" w:right="66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8016</w:t>
            </w:r>
          </w:p>
        </w:tc>
        <w:tc>
          <w:tcPr>
            <w:tcW w:w="181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96"/>
              <w:ind w:left="648"/>
              <w:rPr>
                <w:sz w:val="22"/>
              </w:rPr>
            </w:pPr>
            <w:r>
              <w:rPr>
                <w:spacing w:val="-5"/>
                <w:sz w:val="22"/>
              </w:rPr>
              <w:t>0.3</w:t>
            </w:r>
          </w:p>
        </w:tc>
      </w:tr>
    </w:tbl>
    <w:p>
      <w:pPr>
        <w:pStyle w:val="BodyText"/>
        <w:spacing w:before="45"/>
        <w:ind w:left="0"/>
        <w:jc w:val="left"/>
        <w:rPr>
          <w:b/>
          <w:sz w:val="20"/>
        </w:rPr>
      </w:pPr>
    </w:p>
    <w:p>
      <w:pPr>
        <w:pStyle w:val="BodyText"/>
        <w:spacing w:after="0"/>
        <w:jc w:val="left"/>
        <w:rPr>
          <w:b/>
          <w:sz w:val="20"/>
        </w:rPr>
        <w:sectPr>
          <w:pgSz w:w="12480" w:h="15880"/>
          <w:pgMar w:header="0" w:footer="988" w:top="860" w:bottom="1180" w:left="1133" w:right="992"/>
        </w:sectPr>
      </w:pPr>
    </w:p>
    <w:p>
      <w:pPr>
        <w:pStyle w:val="BodyText"/>
        <w:spacing w:line="249" w:lineRule="auto" w:before="90"/>
      </w:pPr>
      <w:r>
        <w:rPr>
          <w:color w:val="231F20"/>
        </w:rPr>
        <w:t>The</w:t>
      </w:r>
      <w:r>
        <w:rPr>
          <w:color w:val="231F20"/>
          <w:spacing w:val="-13"/>
        </w:rPr>
        <w:t> </w:t>
      </w:r>
      <w:r>
        <w:rPr>
          <w:color w:val="231F20"/>
        </w:rPr>
        <w:t>treatments</w:t>
      </w:r>
      <w:r>
        <w:rPr>
          <w:color w:val="231F20"/>
          <w:spacing w:val="-12"/>
        </w:rPr>
        <w:t> </w:t>
      </w:r>
      <w:r>
        <w:rPr>
          <w:color w:val="231F20"/>
        </w:rPr>
        <w:t>included</w:t>
      </w:r>
      <w:r>
        <w:rPr>
          <w:color w:val="231F20"/>
          <w:spacing w:val="-12"/>
        </w:rPr>
        <w:t> </w:t>
      </w:r>
      <w:r>
        <w:rPr>
          <w:color w:val="231F20"/>
        </w:rPr>
        <w:t>in</w:t>
      </w:r>
      <w:r>
        <w:rPr>
          <w:color w:val="231F20"/>
          <w:spacing w:val="-12"/>
        </w:rPr>
        <w:t> </w:t>
      </w:r>
      <w:r>
        <w:rPr>
          <w:color w:val="231F20"/>
        </w:rPr>
        <w:t>the</w:t>
      </w:r>
      <w:r>
        <w:rPr>
          <w:color w:val="231F20"/>
          <w:spacing w:val="-12"/>
        </w:rPr>
        <w:t> </w:t>
      </w:r>
      <w:r>
        <w:rPr>
          <w:color w:val="231F20"/>
        </w:rPr>
        <w:t>experiment</w:t>
      </w:r>
      <w:r>
        <w:rPr>
          <w:color w:val="231F20"/>
          <w:spacing w:val="-12"/>
        </w:rPr>
        <w:t> </w:t>
      </w:r>
      <w:r>
        <w:rPr>
          <w:color w:val="231F20"/>
        </w:rPr>
        <w:t>were</w:t>
      </w:r>
      <w:r>
        <w:rPr>
          <w:color w:val="231F20"/>
          <w:spacing w:val="-14"/>
        </w:rPr>
        <w:t> </w:t>
      </w:r>
      <w:r>
        <w:rPr>
          <w:color w:val="231F20"/>
        </w:rPr>
        <w:t>T</w:t>
      </w:r>
      <w:r>
        <w:rPr>
          <w:color w:val="231F20"/>
          <w:vertAlign w:val="subscript"/>
        </w:rPr>
        <w:t>1</w:t>
      </w:r>
      <w:r>
        <w:rPr>
          <w:color w:val="231F20"/>
          <w:spacing w:val="-11"/>
          <w:vertAlign w:val="baseline"/>
        </w:rPr>
        <w:t> </w:t>
      </w:r>
      <w:r>
        <w:rPr>
          <w:color w:val="231F20"/>
          <w:vertAlign w:val="baseline"/>
        </w:rPr>
        <w:t>:</w:t>
      </w:r>
      <w:r>
        <w:rPr>
          <w:color w:val="231F20"/>
          <w:spacing w:val="-12"/>
          <w:vertAlign w:val="baseline"/>
        </w:rPr>
        <w:t> </w:t>
      </w:r>
      <w:r>
        <w:rPr>
          <w:color w:val="231F20"/>
          <w:vertAlign w:val="baseline"/>
        </w:rPr>
        <w:t>Sole crop of groundnut, T</w:t>
      </w:r>
      <w:r>
        <w:rPr>
          <w:color w:val="231F20"/>
          <w:vertAlign w:val="subscript"/>
        </w:rPr>
        <w:t>2</w:t>
      </w:r>
      <w:r>
        <w:rPr>
          <w:color w:val="231F20"/>
          <w:vertAlign w:val="baseline"/>
        </w:rPr>
        <w:t> : Sole crop of foxtail millet, T</w:t>
      </w:r>
      <w:r>
        <w:rPr>
          <w:color w:val="231F20"/>
          <w:vertAlign w:val="subscript"/>
        </w:rPr>
        <w:t>3</w:t>
      </w:r>
      <w:r>
        <w:rPr>
          <w:color w:val="231F20"/>
          <w:vertAlign w:val="baseline"/>
        </w:rPr>
        <w:t> </w:t>
      </w:r>
      <w:r>
        <w:rPr>
          <w:color w:val="231F20"/>
          <w:vertAlign w:val="baseline"/>
        </w:rPr>
        <w:t>: </w:t>
      </w:r>
      <w:r>
        <w:rPr>
          <w:color w:val="231F20"/>
          <w:spacing w:val="-2"/>
          <w:vertAlign w:val="baseline"/>
        </w:rPr>
        <w:t>Sole</w:t>
      </w:r>
      <w:r>
        <w:rPr>
          <w:color w:val="231F20"/>
          <w:spacing w:val="-6"/>
          <w:vertAlign w:val="baseline"/>
        </w:rPr>
        <w:t> </w:t>
      </w:r>
      <w:r>
        <w:rPr>
          <w:color w:val="231F20"/>
          <w:spacing w:val="-2"/>
          <w:vertAlign w:val="baseline"/>
        </w:rPr>
        <w:t>crop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spacing w:val="-2"/>
          <w:vertAlign w:val="baseline"/>
        </w:rPr>
        <w:t>of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spacing w:val="-2"/>
          <w:vertAlign w:val="baseline"/>
        </w:rPr>
        <w:t>finger</w:t>
      </w:r>
      <w:r>
        <w:rPr>
          <w:color w:val="231F20"/>
          <w:spacing w:val="-6"/>
          <w:vertAlign w:val="baseline"/>
        </w:rPr>
        <w:t> </w:t>
      </w:r>
      <w:r>
        <w:rPr>
          <w:color w:val="231F20"/>
          <w:spacing w:val="-2"/>
          <w:vertAlign w:val="baseline"/>
        </w:rPr>
        <w:t>millet,</w:t>
      </w:r>
      <w:r>
        <w:rPr>
          <w:color w:val="231F20"/>
          <w:spacing w:val="-10"/>
          <w:vertAlign w:val="baseline"/>
        </w:rPr>
        <w:t> </w:t>
      </w:r>
      <w:r>
        <w:rPr>
          <w:color w:val="231F20"/>
          <w:spacing w:val="-2"/>
          <w:vertAlign w:val="baseline"/>
        </w:rPr>
        <w:t>T</w:t>
      </w:r>
      <w:r>
        <w:rPr>
          <w:color w:val="231F20"/>
          <w:spacing w:val="-2"/>
          <w:vertAlign w:val="subscript"/>
        </w:rPr>
        <w:t>4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spacing w:val="-2"/>
          <w:vertAlign w:val="baseline"/>
        </w:rPr>
        <w:t>: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spacing w:val="-2"/>
          <w:vertAlign w:val="baseline"/>
        </w:rPr>
        <w:t>Sole</w:t>
      </w:r>
      <w:r>
        <w:rPr>
          <w:color w:val="231F20"/>
          <w:spacing w:val="-6"/>
          <w:vertAlign w:val="baseline"/>
        </w:rPr>
        <w:t> </w:t>
      </w:r>
      <w:r>
        <w:rPr>
          <w:color w:val="231F20"/>
          <w:spacing w:val="-2"/>
          <w:vertAlign w:val="baseline"/>
        </w:rPr>
        <w:t>crop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spacing w:val="-2"/>
          <w:vertAlign w:val="baseline"/>
        </w:rPr>
        <w:t>of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spacing w:val="-2"/>
          <w:vertAlign w:val="baseline"/>
        </w:rPr>
        <w:t>little</w:t>
      </w:r>
      <w:r>
        <w:rPr>
          <w:color w:val="231F20"/>
          <w:spacing w:val="-6"/>
          <w:vertAlign w:val="baseline"/>
        </w:rPr>
        <w:t> </w:t>
      </w:r>
      <w:r>
        <w:rPr>
          <w:color w:val="231F20"/>
          <w:spacing w:val="-2"/>
          <w:vertAlign w:val="baseline"/>
        </w:rPr>
        <w:t>millet,</w:t>
      </w:r>
      <w:r>
        <w:rPr>
          <w:color w:val="231F20"/>
          <w:spacing w:val="-10"/>
          <w:vertAlign w:val="baseline"/>
        </w:rPr>
        <w:t> </w:t>
      </w:r>
      <w:r>
        <w:rPr>
          <w:color w:val="231F20"/>
          <w:spacing w:val="-5"/>
          <w:vertAlign w:val="baseline"/>
        </w:rPr>
        <w:t>T</w:t>
      </w:r>
      <w:r>
        <w:rPr>
          <w:color w:val="231F20"/>
          <w:spacing w:val="-5"/>
          <w:vertAlign w:val="subscript"/>
        </w:rPr>
        <w:t>5</w:t>
      </w:r>
    </w:p>
    <w:p>
      <w:pPr>
        <w:pStyle w:val="BodyText"/>
        <w:spacing w:line="249" w:lineRule="auto" w:before="3"/>
      </w:pPr>
      <w:r>
        <w:rPr>
          <w:color w:val="231F20"/>
        </w:rPr>
        <w:t>:</w:t>
      </w:r>
      <w:r>
        <w:rPr>
          <w:color w:val="231F20"/>
          <w:spacing w:val="-3"/>
        </w:rPr>
        <w:t> </w:t>
      </w:r>
      <w:r>
        <w:rPr>
          <w:color w:val="231F20"/>
        </w:rPr>
        <w:t>Groundnut</w:t>
      </w:r>
      <w:r>
        <w:rPr>
          <w:color w:val="231F20"/>
          <w:spacing w:val="-3"/>
        </w:rPr>
        <w:t> </w:t>
      </w:r>
      <w:r>
        <w:rPr>
          <w:color w:val="231F20"/>
        </w:rPr>
        <w:t>+</w:t>
      </w:r>
      <w:r>
        <w:rPr>
          <w:color w:val="231F20"/>
          <w:spacing w:val="-4"/>
        </w:rPr>
        <w:t> </w:t>
      </w:r>
      <w:r>
        <w:rPr>
          <w:color w:val="231F20"/>
        </w:rPr>
        <w:t>littlemillet</w:t>
      </w:r>
      <w:r>
        <w:rPr>
          <w:color w:val="231F20"/>
          <w:spacing w:val="-4"/>
        </w:rPr>
        <w:t> </w:t>
      </w:r>
      <w:r>
        <w:rPr>
          <w:color w:val="231F20"/>
        </w:rPr>
        <w:t>(5:2),</w:t>
      </w:r>
      <w:r>
        <w:rPr>
          <w:color w:val="231F20"/>
          <w:spacing w:val="-7"/>
        </w:rPr>
        <w:t> </w:t>
      </w:r>
      <w:r>
        <w:rPr>
          <w:color w:val="231F20"/>
        </w:rPr>
        <w:t>T</w:t>
      </w:r>
      <w:r>
        <w:rPr>
          <w:color w:val="231F20"/>
          <w:vertAlign w:val="subscript"/>
        </w:rPr>
        <w:t>6</w:t>
      </w:r>
      <w:r>
        <w:rPr>
          <w:color w:val="231F20"/>
          <w:spacing w:val="-4"/>
          <w:vertAlign w:val="baseline"/>
        </w:rPr>
        <w:t> </w:t>
      </w:r>
      <w:r>
        <w:rPr>
          <w:color w:val="231F20"/>
          <w:vertAlign w:val="baseline"/>
        </w:rPr>
        <w:t>:</w:t>
      </w:r>
      <w:r>
        <w:rPr>
          <w:color w:val="231F20"/>
          <w:spacing w:val="-3"/>
          <w:vertAlign w:val="baseline"/>
        </w:rPr>
        <w:t> </w:t>
      </w:r>
      <w:r>
        <w:rPr>
          <w:color w:val="231F20"/>
          <w:vertAlign w:val="baseline"/>
        </w:rPr>
        <w:t>Groundnut</w:t>
      </w:r>
      <w:r>
        <w:rPr>
          <w:color w:val="231F20"/>
          <w:spacing w:val="-3"/>
          <w:vertAlign w:val="baseline"/>
        </w:rPr>
        <w:t> </w:t>
      </w:r>
      <w:r>
        <w:rPr>
          <w:color w:val="231F20"/>
          <w:vertAlign w:val="baseline"/>
        </w:rPr>
        <w:t>+</w:t>
      </w:r>
      <w:r>
        <w:rPr>
          <w:color w:val="231F20"/>
          <w:spacing w:val="-4"/>
          <w:vertAlign w:val="baseline"/>
        </w:rPr>
        <w:t> </w:t>
      </w:r>
      <w:r>
        <w:rPr>
          <w:color w:val="231F20"/>
          <w:vertAlign w:val="baseline"/>
        </w:rPr>
        <w:t>foxtail millet (5:2), T</w:t>
      </w:r>
      <w:r>
        <w:rPr>
          <w:color w:val="231F20"/>
          <w:vertAlign w:val="subscript"/>
        </w:rPr>
        <w:t>7</w:t>
      </w:r>
      <w:r>
        <w:rPr>
          <w:color w:val="231F20"/>
          <w:vertAlign w:val="baseline"/>
        </w:rPr>
        <w:t> : Groundnut + finger millet (5:2), T</w:t>
      </w:r>
      <w:r>
        <w:rPr>
          <w:color w:val="231F20"/>
          <w:vertAlign w:val="subscript"/>
        </w:rPr>
        <w:t>8</w:t>
      </w:r>
      <w:r>
        <w:rPr>
          <w:color w:val="231F20"/>
          <w:vertAlign w:val="baseline"/>
        </w:rPr>
        <w:t> : Groundnut + little millet (5:4) T</w:t>
      </w:r>
      <w:r>
        <w:rPr>
          <w:color w:val="231F20"/>
          <w:vertAlign w:val="subscript"/>
        </w:rPr>
        <w:t>9</w:t>
      </w:r>
      <w:r>
        <w:rPr>
          <w:color w:val="231F20"/>
          <w:vertAlign w:val="baseline"/>
        </w:rPr>
        <w:t> : Groundnut + foxtail millet (5:4), T</w:t>
      </w:r>
      <w:r>
        <w:rPr>
          <w:color w:val="231F20"/>
          <w:vertAlign w:val="subscript"/>
        </w:rPr>
        <w:t>10</w:t>
      </w:r>
      <w:r>
        <w:rPr>
          <w:color w:val="231F20"/>
          <w:vertAlign w:val="baseline"/>
        </w:rPr>
        <w:t> : Groundnut + finger millet (5:4).</w:t>
      </w:r>
    </w:p>
    <w:p>
      <w:pPr>
        <w:pStyle w:val="Heading1"/>
        <w:spacing w:before="124"/>
      </w:pPr>
      <w:r>
        <w:rPr>
          <w:color w:val="231F20"/>
          <w:spacing w:val="-2"/>
        </w:rPr>
        <w:t>RESULTS</w:t>
      </w:r>
      <w:r>
        <w:rPr>
          <w:color w:val="231F20"/>
          <w:spacing w:val="-16"/>
        </w:rPr>
        <w:t> </w:t>
      </w:r>
      <w:r>
        <w:rPr>
          <w:color w:val="231F20"/>
          <w:spacing w:val="-2"/>
        </w:rPr>
        <w:t>AND</w:t>
      </w:r>
      <w:r>
        <w:rPr>
          <w:color w:val="231F20"/>
          <w:spacing w:val="-5"/>
        </w:rPr>
        <w:t> </w:t>
      </w:r>
      <w:r>
        <w:rPr>
          <w:color w:val="231F20"/>
          <w:spacing w:val="-2"/>
        </w:rPr>
        <w:t>DISCUSSION</w:t>
      </w:r>
    </w:p>
    <w:p>
      <w:pPr>
        <w:pStyle w:val="BodyText"/>
        <w:spacing w:line="249" w:lineRule="auto" w:before="122"/>
        <w:ind w:firstLine="432"/>
      </w:pPr>
      <w:r>
        <w:rPr>
          <w:color w:val="231F20"/>
        </w:rPr>
        <w:t>Significantly higher pod (2295 kg 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 and </w:t>
      </w:r>
      <w:r>
        <w:rPr>
          <w:color w:val="231F20"/>
        </w:rPr>
        <w:t>haulm </w:t>
      </w:r>
      <w:r>
        <w:rPr>
          <w:color w:val="231F20"/>
          <w:spacing w:val="-4"/>
        </w:rPr>
        <w:t>yield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(3016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kg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ha</w:t>
      </w:r>
      <w:r>
        <w:rPr>
          <w:color w:val="231F20"/>
          <w:spacing w:val="-4"/>
          <w:position w:val="7"/>
          <w:sz w:val="13"/>
        </w:rPr>
        <w:t>-1</w:t>
      </w:r>
      <w:r>
        <w:rPr>
          <w:color w:val="231F20"/>
          <w:spacing w:val="-4"/>
        </w:rPr>
        <w:t>)</w:t>
      </w:r>
      <w:r>
        <w:rPr>
          <w:color w:val="231F20"/>
          <w:spacing w:val="-9"/>
        </w:rPr>
        <w:t> </w:t>
      </w:r>
      <w:r>
        <w:rPr>
          <w:color w:val="231F20"/>
          <w:spacing w:val="-4"/>
        </w:rPr>
        <w:t>of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groundnut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was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recorded</w:t>
      </w:r>
      <w:r>
        <w:rPr>
          <w:color w:val="231F20"/>
          <w:spacing w:val="-9"/>
        </w:rPr>
        <w:t> </w:t>
      </w:r>
      <w:r>
        <w:rPr>
          <w:color w:val="231F20"/>
          <w:spacing w:val="-4"/>
        </w:rPr>
        <w:t>in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sole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crop </w:t>
      </w:r>
      <w:r>
        <w:rPr>
          <w:color w:val="231F20"/>
        </w:rPr>
        <w:t>of groundnut (T</w:t>
      </w:r>
      <w:r>
        <w:rPr>
          <w:color w:val="231F20"/>
          <w:vertAlign w:val="subscript"/>
        </w:rPr>
        <w:t>1</w:t>
      </w:r>
      <w:r>
        <w:rPr>
          <w:color w:val="231F20"/>
          <w:vertAlign w:val="baseline"/>
        </w:rPr>
        <w:t>) compared to any other intercropping systems. This might be attributed to optimum plant densities and lower competition environment in sole crop compared to intercropping which have a positive and significant impact on growth parameters and yield attributes, that in turn increased the yield. These results were in conformity with the findings of Maitra </w:t>
      </w:r>
      <w:r>
        <w:rPr>
          <w:i/>
          <w:color w:val="231F20"/>
          <w:vertAlign w:val="baseline"/>
        </w:rPr>
        <w:t>et al</w:t>
      </w:r>
      <w:r>
        <w:rPr>
          <w:color w:val="231F20"/>
          <w:vertAlign w:val="baseline"/>
        </w:rPr>
        <w:t>. (2000), Shivaraj (2015), Shwethanjali </w:t>
      </w:r>
      <w:r>
        <w:rPr>
          <w:i/>
          <w:color w:val="231F20"/>
          <w:vertAlign w:val="baseline"/>
        </w:rPr>
        <w:t>et al</w:t>
      </w:r>
      <w:r>
        <w:rPr>
          <w:color w:val="231F20"/>
          <w:vertAlign w:val="baseline"/>
        </w:rPr>
        <w:t>. (2018), Lenka</w:t>
      </w:r>
      <w:r>
        <w:rPr>
          <w:color w:val="231F20"/>
          <w:spacing w:val="18"/>
          <w:vertAlign w:val="baseline"/>
        </w:rPr>
        <w:t> </w:t>
      </w:r>
      <w:r>
        <w:rPr>
          <w:i/>
          <w:color w:val="231F20"/>
          <w:vertAlign w:val="baseline"/>
        </w:rPr>
        <w:t>et</w:t>
      </w:r>
      <w:r>
        <w:rPr>
          <w:i/>
          <w:color w:val="231F20"/>
          <w:spacing w:val="19"/>
          <w:vertAlign w:val="baseline"/>
        </w:rPr>
        <w:t> </w:t>
      </w:r>
      <w:r>
        <w:rPr>
          <w:i/>
          <w:color w:val="231F20"/>
          <w:vertAlign w:val="baseline"/>
        </w:rPr>
        <w:t>al</w:t>
      </w:r>
      <w:r>
        <w:rPr>
          <w:color w:val="231F20"/>
          <w:vertAlign w:val="baseline"/>
        </w:rPr>
        <w:t>.</w:t>
      </w:r>
      <w:r>
        <w:rPr>
          <w:color w:val="231F20"/>
          <w:spacing w:val="18"/>
          <w:vertAlign w:val="baseline"/>
        </w:rPr>
        <w:t> </w:t>
      </w:r>
      <w:r>
        <w:rPr>
          <w:color w:val="231F20"/>
          <w:vertAlign w:val="baseline"/>
        </w:rPr>
        <w:t>(2023).</w:t>
      </w:r>
      <w:r>
        <w:rPr>
          <w:color w:val="231F20"/>
          <w:spacing w:val="7"/>
          <w:vertAlign w:val="baseline"/>
        </w:rPr>
        <w:t> </w:t>
      </w:r>
      <w:r>
        <w:rPr>
          <w:color w:val="231F20"/>
          <w:vertAlign w:val="baseline"/>
        </w:rPr>
        <w:t>Among</w:t>
      </w:r>
      <w:r>
        <w:rPr>
          <w:color w:val="231F20"/>
          <w:spacing w:val="19"/>
          <w:vertAlign w:val="baseline"/>
        </w:rPr>
        <w:t> </w:t>
      </w:r>
      <w:r>
        <w:rPr>
          <w:color w:val="231F20"/>
          <w:vertAlign w:val="baseline"/>
        </w:rPr>
        <w:t>the</w:t>
      </w:r>
      <w:r>
        <w:rPr>
          <w:color w:val="231F20"/>
          <w:spacing w:val="19"/>
          <w:vertAlign w:val="baseline"/>
        </w:rPr>
        <w:t> </w:t>
      </w:r>
      <w:r>
        <w:rPr>
          <w:color w:val="231F20"/>
          <w:vertAlign w:val="baseline"/>
        </w:rPr>
        <w:t>different</w:t>
      </w:r>
      <w:r>
        <w:rPr>
          <w:color w:val="231F20"/>
          <w:spacing w:val="18"/>
          <w:vertAlign w:val="baseline"/>
        </w:rPr>
        <w:t> </w:t>
      </w:r>
      <w:r>
        <w:rPr>
          <w:color w:val="231F20"/>
          <w:spacing w:val="-2"/>
          <w:vertAlign w:val="baseline"/>
        </w:rPr>
        <w:t>intercropping</w:t>
      </w:r>
    </w:p>
    <w:p>
      <w:pPr>
        <w:pStyle w:val="BodyText"/>
        <w:spacing w:before="90"/>
      </w:pPr>
      <w:r>
        <w:rPr/>
        <w:br w:type="column"/>
      </w:r>
      <w:r>
        <w:rPr>
          <w:color w:val="231F20"/>
        </w:rPr>
        <w:t>systems,</w:t>
      </w:r>
      <w:r>
        <w:rPr>
          <w:color w:val="231F20"/>
          <w:spacing w:val="2"/>
        </w:rPr>
        <w:t> </w:t>
      </w:r>
      <w:r>
        <w:rPr>
          <w:color w:val="231F20"/>
        </w:rPr>
        <w:t>highest</w:t>
      </w:r>
      <w:r>
        <w:rPr>
          <w:color w:val="231F20"/>
          <w:spacing w:val="3"/>
        </w:rPr>
        <w:t> </w:t>
      </w:r>
      <w:r>
        <w:rPr>
          <w:color w:val="231F20"/>
        </w:rPr>
        <w:t>pod</w:t>
      </w:r>
      <w:r>
        <w:rPr>
          <w:color w:val="231F20"/>
          <w:spacing w:val="3"/>
        </w:rPr>
        <w:t> </w:t>
      </w:r>
      <w:r>
        <w:rPr>
          <w:color w:val="231F20"/>
        </w:rPr>
        <w:t>yield</w:t>
      </w:r>
      <w:r>
        <w:rPr>
          <w:color w:val="231F20"/>
          <w:spacing w:val="2"/>
        </w:rPr>
        <w:t> </w:t>
      </w:r>
      <w:r>
        <w:rPr>
          <w:color w:val="231F20"/>
        </w:rPr>
        <w:t>was</w:t>
      </w:r>
      <w:r>
        <w:rPr>
          <w:color w:val="231F20"/>
          <w:spacing w:val="3"/>
        </w:rPr>
        <w:t> </w:t>
      </w:r>
      <w:r>
        <w:rPr>
          <w:color w:val="231F20"/>
        </w:rPr>
        <w:t>obtained</w:t>
      </w:r>
      <w:r>
        <w:rPr>
          <w:color w:val="231F20"/>
          <w:spacing w:val="3"/>
        </w:rPr>
        <w:t> </w:t>
      </w:r>
      <w:r>
        <w:rPr>
          <w:color w:val="231F20"/>
        </w:rPr>
        <w:t>with</w:t>
      </w:r>
      <w:r>
        <w:rPr>
          <w:color w:val="231F20"/>
          <w:spacing w:val="3"/>
        </w:rPr>
        <w:t> </w:t>
      </w:r>
      <w:r>
        <w:rPr>
          <w:color w:val="231F20"/>
          <w:spacing w:val="-2"/>
        </w:rPr>
        <w:t>groundnut</w:t>
      </w:r>
    </w:p>
    <w:p>
      <w:pPr>
        <w:pStyle w:val="BodyText"/>
        <w:spacing w:line="249" w:lineRule="auto" w:before="11"/>
        <w:ind w:right="140"/>
      </w:pPr>
      <w:r>
        <w:rPr>
          <w:color w:val="231F20"/>
        </w:rPr>
        <w:t>+ finger millet (1976 kg 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 at 5:2 row proportions, which was on par with groundnut + foxtail millet </w:t>
      </w:r>
      <w:r>
        <w:rPr>
          <w:color w:val="231F20"/>
        </w:rPr>
        <w:t>(1927 </w:t>
      </w:r>
      <w:r>
        <w:rPr>
          <w:color w:val="231F20"/>
          <w:spacing w:val="-2"/>
        </w:rPr>
        <w:t>kg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ha</w:t>
      </w:r>
      <w:r>
        <w:rPr>
          <w:color w:val="231F20"/>
          <w:spacing w:val="-2"/>
          <w:position w:val="7"/>
          <w:sz w:val="13"/>
        </w:rPr>
        <w:t>-1</w:t>
      </w:r>
      <w:r>
        <w:rPr>
          <w:color w:val="231F20"/>
          <w:spacing w:val="-2"/>
        </w:rPr>
        <w:t>)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at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5:2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row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proportion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and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groundnut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+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little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millet </w:t>
      </w:r>
      <w:r>
        <w:rPr>
          <w:color w:val="231F20"/>
        </w:rPr>
        <w:t>(1819</w:t>
      </w:r>
      <w:r>
        <w:rPr>
          <w:color w:val="231F20"/>
          <w:spacing w:val="-14"/>
        </w:rPr>
        <w:t> </w:t>
      </w:r>
      <w:r>
        <w:rPr>
          <w:color w:val="231F20"/>
        </w:rPr>
        <w:t>kg</w:t>
      </w:r>
      <w:r>
        <w:rPr>
          <w:color w:val="231F20"/>
          <w:spacing w:val="-14"/>
        </w:rPr>
        <w:t> </w:t>
      </w:r>
      <w:r>
        <w:rPr>
          <w:color w:val="231F20"/>
        </w:rPr>
        <w:t>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</w:t>
      </w:r>
      <w:r>
        <w:rPr>
          <w:color w:val="231F20"/>
          <w:spacing w:val="-14"/>
        </w:rPr>
        <w:t> </w:t>
      </w:r>
      <w:r>
        <w:rPr>
          <w:color w:val="231F20"/>
        </w:rPr>
        <w:t>at</w:t>
      </w:r>
      <w:r>
        <w:rPr>
          <w:color w:val="231F20"/>
          <w:spacing w:val="-13"/>
        </w:rPr>
        <w:t> </w:t>
      </w:r>
      <w:r>
        <w:rPr>
          <w:color w:val="231F20"/>
        </w:rPr>
        <w:t>5:2</w:t>
      </w:r>
      <w:r>
        <w:rPr>
          <w:color w:val="231F20"/>
          <w:spacing w:val="-14"/>
        </w:rPr>
        <w:t> </w:t>
      </w:r>
      <w:r>
        <w:rPr>
          <w:color w:val="231F20"/>
        </w:rPr>
        <w:t>row</w:t>
      </w:r>
      <w:r>
        <w:rPr>
          <w:color w:val="231F20"/>
          <w:spacing w:val="-14"/>
        </w:rPr>
        <w:t> </w:t>
      </w:r>
      <w:r>
        <w:rPr>
          <w:color w:val="231F20"/>
        </w:rPr>
        <w:t>proportion.</w:t>
      </w:r>
      <w:r>
        <w:rPr>
          <w:color w:val="231F20"/>
          <w:spacing w:val="-14"/>
        </w:rPr>
        <w:t> </w:t>
      </w:r>
      <w:r>
        <w:rPr>
          <w:color w:val="231F20"/>
        </w:rPr>
        <w:t>Among</w:t>
      </w:r>
      <w:r>
        <w:rPr>
          <w:color w:val="231F20"/>
          <w:spacing w:val="-13"/>
        </w:rPr>
        <w:t> </w:t>
      </w:r>
      <w:r>
        <w:rPr>
          <w:color w:val="231F20"/>
        </w:rPr>
        <w:t>the</w:t>
      </w:r>
      <w:r>
        <w:rPr>
          <w:color w:val="231F20"/>
          <w:spacing w:val="-14"/>
        </w:rPr>
        <w:t> </w:t>
      </w:r>
      <w:r>
        <w:rPr>
          <w:color w:val="231F20"/>
        </w:rPr>
        <w:t>different intercropping</w:t>
      </w:r>
      <w:r>
        <w:rPr>
          <w:color w:val="231F20"/>
          <w:spacing w:val="-11"/>
        </w:rPr>
        <w:t> </w:t>
      </w:r>
      <w:r>
        <w:rPr>
          <w:color w:val="231F20"/>
        </w:rPr>
        <w:t>systems,</w:t>
      </w:r>
      <w:r>
        <w:rPr>
          <w:color w:val="231F20"/>
          <w:spacing w:val="-11"/>
        </w:rPr>
        <w:t> </w:t>
      </w:r>
      <w:r>
        <w:rPr>
          <w:color w:val="231F20"/>
        </w:rPr>
        <w:t>highest</w:t>
      </w:r>
      <w:r>
        <w:rPr>
          <w:color w:val="231F20"/>
          <w:spacing w:val="-11"/>
        </w:rPr>
        <w:t> </w:t>
      </w:r>
      <w:r>
        <w:rPr>
          <w:color w:val="231F20"/>
        </w:rPr>
        <w:t>haulm</w:t>
      </w:r>
      <w:r>
        <w:rPr>
          <w:color w:val="231F20"/>
          <w:spacing w:val="-11"/>
        </w:rPr>
        <w:t> </w:t>
      </w:r>
      <w:r>
        <w:rPr>
          <w:color w:val="231F20"/>
        </w:rPr>
        <w:t>yield</w:t>
      </w:r>
      <w:r>
        <w:rPr>
          <w:color w:val="231F20"/>
          <w:spacing w:val="-11"/>
        </w:rPr>
        <w:t> </w:t>
      </w:r>
      <w:r>
        <w:rPr>
          <w:color w:val="231F20"/>
        </w:rPr>
        <w:t>was</w:t>
      </w:r>
      <w:r>
        <w:rPr>
          <w:color w:val="231F20"/>
          <w:spacing w:val="-11"/>
        </w:rPr>
        <w:t> </w:t>
      </w:r>
      <w:r>
        <w:rPr>
          <w:color w:val="231F20"/>
        </w:rPr>
        <w:t>obtained with groundnut + finger millet (2689 kg 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 at 5:2 row proportion, which was on par with groundnut + foxtail millet</w:t>
      </w:r>
      <w:r>
        <w:rPr>
          <w:color w:val="231F20"/>
          <w:spacing w:val="-13"/>
        </w:rPr>
        <w:t> </w:t>
      </w:r>
      <w:r>
        <w:rPr>
          <w:color w:val="231F20"/>
        </w:rPr>
        <w:t>(2510</w:t>
      </w:r>
      <w:r>
        <w:rPr>
          <w:color w:val="231F20"/>
          <w:spacing w:val="-12"/>
        </w:rPr>
        <w:t> </w:t>
      </w:r>
      <w:r>
        <w:rPr>
          <w:color w:val="231F20"/>
        </w:rPr>
        <w:t>kg</w:t>
      </w:r>
      <w:r>
        <w:rPr>
          <w:color w:val="231F20"/>
          <w:spacing w:val="-12"/>
        </w:rPr>
        <w:t> </w:t>
      </w:r>
      <w:r>
        <w:rPr>
          <w:color w:val="231F20"/>
        </w:rPr>
        <w:t>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</w:t>
      </w:r>
      <w:r>
        <w:rPr>
          <w:color w:val="231F20"/>
          <w:spacing w:val="-12"/>
        </w:rPr>
        <w:t> </w:t>
      </w:r>
      <w:r>
        <w:rPr>
          <w:color w:val="231F20"/>
        </w:rPr>
        <w:t>at</w:t>
      </w:r>
      <w:r>
        <w:rPr>
          <w:color w:val="231F20"/>
          <w:spacing w:val="-13"/>
        </w:rPr>
        <w:t> </w:t>
      </w:r>
      <w:r>
        <w:rPr>
          <w:color w:val="231F20"/>
        </w:rPr>
        <w:t>5:2</w:t>
      </w:r>
      <w:r>
        <w:rPr>
          <w:color w:val="231F20"/>
          <w:spacing w:val="-12"/>
        </w:rPr>
        <w:t> </w:t>
      </w:r>
      <w:r>
        <w:rPr>
          <w:color w:val="231F20"/>
        </w:rPr>
        <w:t>row</w:t>
      </w:r>
      <w:r>
        <w:rPr>
          <w:color w:val="231F20"/>
          <w:spacing w:val="-12"/>
        </w:rPr>
        <w:t> </w:t>
      </w:r>
      <w:r>
        <w:rPr>
          <w:color w:val="231F20"/>
        </w:rPr>
        <w:t>proportion</w:t>
      </w:r>
      <w:r>
        <w:rPr>
          <w:color w:val="231F20"/>
          <w:spacing w:val="-12"/>
        </w:rPr>
        <w:t> </w:t>
      </w:r>
      <w:r>
        <w:rPr>
          <w:color w:val="231F20"/>
        </w:rPr>
        <w:t>and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groundnut</w:t>
      </w:r>
    </w:p>
    <w:p>
      <w:pPr>
        <w:pStyle w:val="BodyText"/>
        <w:spacing w:line="249" w:lineRule="auto" w:before="8"/>
        <w:ind w:right="140"/>
      </w:pPr>
      <w:r>
        <w:rPr>
          <w:color w:val="231F20"/>
        </w:rPr>
        <w:t>+</w:t>
      </w:r>
      <w:r>
        <w:rPr>
          <w:color w:val="231F20"/>
          <w:spacing w:val="-7"/>
        </w:rPr>
        <w:t> </w:t>
      </w:r>
      <w:r>
        <w:rPr>
          <w:color w:val="231F20"/>
        </w:rPr>
        <w:t>little</w:t>
      </w:r>
      <w:r>
        <w:rPr>
          <w:color w:val="231F20"/>
          <w:spacing w:val="-7"/>
        </w:rPr>
        <w:t> </w:t>
      </w:r>
      <w:r>
        <w:rPr>
          <w:color w:val="231F20"/>
        </w:rPr>
        <w:t>millet</w:t>
      </w:r>
      <w:r>
        <w:rPr>
          <w:color w:val="231F20"/>
          <w:spacing w:val="-7"/>
        </w:rPr>
        <w:t> </w:t>
      </w:r>
      <w:r>
        <w:rPr>
          <w:color w:val="231F20"/>
        </w:rPr>
        <w:t>(2376</w:t>
      </w:r>
      <w:r>
        <w:rPr>
          <w:color w:val="231F20"/>
          <w:spacing w:val="-7"/>
        </w:rPr>
        <w:t> </w:t>
      </w:r>
      <w:r>
        <w:rPr>
          <w:color w:val="231F20"/>
        </w:rPr>
        <w:t>kg</w:t>
      </w:r>
      <w:r>
        <w:rPr>
          <w:color w:val="231F20"/>
          <w:spacing w:val="-7"/>
        </w:rPr>
        <w:t> </w:t>
      </w:r>
      <w:r>
        <w:rPr>
          <w:color w:val="231F20"/>
        </w:rPr>
        <w:t>ha</w:t>
      </w:r>
      <w:r>
        <w:rPr>
          <w:color w:val="231F20"/>
          <w:position w:val="7"/>
          <w:sz w:val="13"/>
        </w:rPr>
        <w:t>-1</w:t>
      </w:r>
      <w:r>
        <w:rPr>
          <w:color w:val="231F20"/>
        </w:rPr>
        <w:t>)</w:t>
      </w:r>
      <w:r>
        <w:rPr>
          <w:color w:val="231F20"/>
          <w:spacing w:val="-7"/>
        </w:rPr>
        <w:t> </w:t>
      </w:r>
      <w:r>
        <w:rPr>
          <w:color w:val="231F20"/>
        </w:rPr>
        <w:t>at</w:t>
      </w:r>
      <w:r>
        <w:rPr>
          <w:color w:val="231F20"/>
          <w:spacing w:val="-7"/>
        </w:rPr>
        <w:t> </w:t>
      </w:r>
      <w:r>
        <w:rPr>
          <w:color w:val="231F20"/>
        </w:rPr>
        <w:t>5:2</w:t>
      </w:r>
      <w:r>
        <w:rPr>
          <w:color w:val="231F20"/>
          <w:spacing w:val="-7"/>
        </w:rPr>
        <w:t> </w:t>
      </w:r>
      <w:r>
        <w:rPr>
          <w:color w:val="231F20"/>
        </w:rPr>
        <w:t>row</w:t>
      </w:r>
      <w:r>
        <w:rPr>
          <w:color w:val="231F20"/>
          <w:spacing w:val="-7"/>
        </w:rPr>
        <w:t> </w:t>
      </w:r>
      <w:r>
        <w:rPr>
          <w:color w:val="231F20"/>
        </w:rPr>
        <w:t>proportion</w:t>
      </w:r>
      <w:r>
        <w:rPr>
          <w:color w:val="231F20"/>
          <w:spacing w:val="-7"/>
        </w:rPr>
        <w:t> </w:t>
      </w:r>
      <w:r>
        <w:rPr>
          <w:color w:val="231F20"/>
        </w:rPr>
        <w:t>(Table 1). This increase in the haulm yield could be attributed due to higher plant population maintained in the </w:t>
      </w:r>
      <w:r>
        <w:rPr>
          <w:color w:val="231F20"/>
        </w:rPr>
        <w:t>sole crop along with least competition offered, which have increased</w:t>
      </w:r>
      <w:r>
        <w:rPr>
          <w:color w:val="231F20"/>
          <w:spacing w:val="40"/>
        </w:rPr>
        <w:t> </w:t>
      </w:r>
      <w:r>
        <w:rPr>
          <w:color w:val="231F20"/>
        </w:rPr>
        <w:t>the</w:t>
      </w:r>
      <w:r>
        <w:rPr>
          <w:color w:val="231F20"/>
          <w:spacing w:val="40"/>
        </w:rPr>
        <w:t> </w:t>
      </w:r>
      <w:r>
        <w:rPr>
          <w:color w:val="231F20"/>
        </w:rPr>
        <w:t>vegetative</w:t>
      </w:r>
      <w:r>
        <w:rPr>
          <w:color w:val="231F20"/>
          <w:spacing w:val="40"/>
        </w:rPr>
        <w:t> </w:t>
      </w:r>
      <w:r>
        <w:rPr>
          <w:color w:val="231F20"/>
        </w:rPr>
        <w:t>growth</w:t>
      </w:r>
      <w:r>
        <w:rPr>
          <w:color w:val="231F20"/>
          <w:spacing w:val="40"/>
        </w:rPr>
        <w:t> </w:t>
      </w:r>
      <w:r>
        <w:rPr>
          <w:color w:val="231F20"/>
        </w:rPr>
        <w:t>in</w:t>
      </w:r>
      <w:r>
        <w:rPr>
          <w:color w:val="231F20"/>
          <w:spacing w:val="40"/>
        </w:rPr>
        <w:t> </w:t>
      </w:r>
      <w:r>
        <w:rPr>
          <w:color w:val="231F20"/>
        </w:rPr>
        <w:t>turn</w:t>
      </w:r>
      <w:r>
        <w:rPr>
          <w:color w:val="231F20"/>
          <w:spacing w:val="40"/>
        </w:rPr>
        <w:t> </w:t>
      </w:r>
      <w:r>
        <w:rPr>
          <w:color w:val="231F20"/>
        </w:rPr>
        <w:t>the</w:t>
      </w:r>
      <w:r>
        <w:rPr>
          <w:color w:val="231F20"/>
          <w:spacing w:val="40"/>
        </w:rPr>
        <w:t> </w:t>
      </w:r>
      <w:r>
        <w:rPr>
          <w:color w:val="231F20"/>
        </w:rPr>
        <w:t>haulm yield. The highest groundnut pod equivalent yield was recorded in the intercropping system of groundnut + finger</w:t>
      </w:r>
      <w:r>
        <w:rPr>
          <w:color w:val="231F20"/>
          <w:spacing w:val="-5"/>
        </w:rPr>
        <w:t> </w:t>
      </w:r>
      <w:r>
        <w:rPr>
          <w:color w:val="231F20"/>
        </w:rPr>
        <w:t>millet</w:t>
      </w:r>
      <w:r>
        <w:rPr>
          <w:color w:val="231F20"/>
          <w:spacing w:val="-5"/>
        </w:rPr>
        <w:t> </w:t>
      </w:r>
      <w:r>
        <w:rPr>
          <w:color w:val="231F20"/>
        </w:rPr>
        <w:t>(5:2)</w:t>
      </w:r>
      <w:r>
        <w:rPr>
          <w:color w:val="231F20"/>
          <w:spacing w:val="-5"/>
        </w:rPr>
        <w:t> </w:t>
      </w:r>
      <w:r>
        <w:rPr>
          <w:color w:val="231F20"/>
        </w:rPr>
        <w:t>(T</w:t>
      </w:r>
      <w:r>
        <w:rPr>
          <w:color w:val="231F20"/>
          <w:vertAlign w:val="subscript"/>
        </w:rPr>
        <w:t>7</w:t>
      </w:r>
      <w:r>
        <w:rPr>
          <w:color w:val="231F20"/>
          <w:vertAlign w:val="baseline"/>
        </w:rPr>
        <w:t>)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vertAlign w:val="baseline"/>
        </w:rPr>
        <w:t>which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vertAlign w:val="baseline"/>
        </w:rPr>
        <w:t>is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vertAlign w:val="baseline"/>
        </w:rPr>
        <w:t>on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vertAlign w:val="baseline"/>
        </w:rPr>
        <w:t>par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vertAlign w:val="baseline"/>
        </w:rPr>
        <w:t>with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vertAlign w:val="baseline"/>
        </w:rPr>
        <w:t>groundnut</w:t>
      </w:r>
      <w:r>
        <w:rPr>
          <w:color w:val="231F20"/>
          <w:spacing w:val="-5"/>
          <w:vertAlign w:val="baseline"/>
        </w:rPr>
        <w:t> </w:t>
      </w:r>
      <w:r>
        <w:rPr>
          <w:color w:val="231F20"/>
          <w:vertAlign w:val="baseline"/>
        </w:rPr>
        <w:t>+ finger millet (5:4) (T</w:t>
      </w:r>
      <w:r>
        <w:rPr>
          <w:color w:val="231F20"/>
          <w:vertAlign w:val="subscript"/>
        </w:rPr>
        <w:t>10</w:t>
      </w:r>
      <w:r>
        <w:rPr>
          <w:color w:val="231F20"/>
          <w:vertAlign w:val="baseline"/>
        </w:rPr>
        <w:t>) due to the additional advantage of foxtail millet yield and higher groundnut yield along with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intercrop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due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to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better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complementary</w:t>
      </w:r>
      <w:r>
        <w:rPr>
          <w:color w:val="231F20"/>
          <w:spacing w:val="-2"/>
          <w:vertAlign w:val="baseline"/>
        </w:rPr>
        <w:t> relationship.</w:t>
      </w:r>
    </w:p>
    <w:p>
      <w:pPr>
        <w:pStyle w:val="BodyText"/>
        <w:spacing w:after="0" w:line="249" w:lineRule="auto"/>
        <w:sectPr>
          <w:type w:val="continuous"/>
          <w:pgSz w:w="12480" w:h="15880"/>
          <w:pgMar w:header="0" w:footer="988" w:top="980" w:bottom="1180" w:left="1133" w:right="992"/>
          <w:cols w:num="2" w:equalWidth="0">
            <w:col w:w="4962" w:space="281"/>
            <w:col w:w="5112"/>
          </w:cols>
        </w:sectPr>
      </w:pPr>
    </w:p>
    <w:p>
      <w:pPr>
        <w:spacing w:before="65"/>
        <w:ind w:left="11" w:right="149" w:firstLine="0"/>
        <w:jc w:val="center"/>
        <w:rPr>
          <w:i/>
          <w:sz w:val="22"/>
        </w:rPr>
      </w:pPr>
      <w:r>
        <w:rPr>
          <w:color w:val="231F20"/>
          <w:sz w:val="22"/>
        </w:rPr>
        <w:t>Niharika</w:t>
      </w:r>
      <w:r>
        <w:rPr>
          <w:color w:val="231F20"/>
          <w:spacing w:val="-1"/>
          <w:sz w:val="22"/>
        </w:rPr>
        <w:t> </w:t>
      </w:r>
      <w:r>
        <w:rPr>
          <w:i/>
          <w:color w:val="231F20"/>
          <w:sz w:val="22"/>
        </w:rPr>
        <w:t>et </w:t>
      </w:r>
      <w:r>
        <w:rPr>
          <w:i/>
          <w:color w:val="231F20"/>
          <w:spacing w:val="-4"/>
          <w:sz w:val="22"/>
        </w:rPr>
        <w:t>al.,</w:t>
      </w:r>
    </w:p>
    <w:p>
      <w:pPr>
        <w:pStyle w:val="BodyText"/>
        <w:spacing w:before="68"/>
        <w:ind w:left="0"/>
        <w:jc w:val="left"/>
        <w:rPr>
          <w:i/>
          <w:sz w:val="20"/>
        </w:rPr>
      </w:pPr>
    </w:p>
    <w:p>
      <w:pPr>
        <w:pStyle w:val="BodyText"/>
        <w:spacing w:after="0"/>
        <w:jc w:val="left"/>
        <w:rPr>
          <w:i/>
          <w:sz w:val="20"/>
        </w:rPr>
        <w:sectPr>
          <w:pgSz w:w="12480" w:h="15880"/>
          <w:pgMar w:header="0" w:footer="988" w:top="860" w:bottom="1180" w:left="1133" w:right="992"/>
        </w:sectPr>
      </w:pPr>
    </w:p>
    <w:p>
      <w:pPr>
        <w:pStyle w:val="BodyText"/>
        <w:spacing w:line="249" w:lineRule="auto" w:before="91"/>
      </w:pPr>
      <w:r>
        <w:rPr>
          <w:color w:val="231F20"/>
          <w:spacing w:val="-2"/>
        </w:rPr>
        <w:t>Whereas</w:t>
      </w:r>
      <w:r>
        <w:rPr>
          <w:color w:val="231F20"/>
          <w:spacing w:val="-7"/>
        </w:rPr>
        <w:t> </w:t>
      </w:r>
      <w:r>
        <w:rPr>
          <w:color w:val="231F20"/>
          <w:spacing w:val="-2"/>
        </w:rPr>
        <w:t>lower</w:t>
      </w:r>
      <w:r>
        <w:rPr>
          <w:color w:val="231F20"/>
          <w:spacing w:val="-7"/>
        </w:rPr>
        <w:t> </w:t>
      </w:r>
      <w:r>
        <w:rPr>
          <w:color w:val="231F20"/>
          <w:spacing w:val="-2"/>
        </w:rPr>
        <w:t>pod,</w:t>
      </w:r>
      <w:r>
        <w:rPr>
          <w:color w:val="231F20"/>
          <w:spacing w:val="-7"/>
        </w:rPr>
        <w:t> </w:t>
      </w:r>
      <w:r>
        <w:rPr>
          <w:color w:val="231F20"/>
          <w:spacing w:val="-2"/>
        </w:rPr>
        <w:t>haulm</w:t>
      </w:r>
      <w:r>
        <w:rPr>
          <w:color w:val="231F20"/>
          <w:spacing w:val="-7"/>
        </w:rPr>
        <w:t> </w:t>
      </w:r>
      <w:r>
        <w:rPr>
          <w:color w:val="231F20"/>
          <w:spacing w:val="-2"/>
        </w:rPr>
        <w:t>and</w:t>
      </w:r>
      <w:r>
        <w:rPr>
          <w:color w:val="231F20"/>
          <w:spacing w:val="-7"/>
        </w:rPr>
        <w:t> </w:t>
      </w:r>
      <w:r>
        <w:rPr>
          <w:color w:val="231F20"/>
          <w:spacing w:val="-2"/>
        </w:rPr>
        <w:t>groundnut</w:t>
      </w:r>
      <w:r>
        <w:rPr>
          <w:color w:val="231F20"/>
          <w:spacing w:val="-7"/>
        </w:rPr>
        <w:t> </w:t>
      </w:r>
      <w:r>
        <w:rPr>
          <w:color w:val="231F20"/>
          <w:spacing w:val="-2"/>
        </w:rPr>
        <w:t>pod</w:t>
      </w:r>
      <w:r>
        <w:rPr>
          <w:color w:val="231F20"/>
          <w:spacing w:val="-7"/>
        </w:rPr>
        <w:t> </w:t>
      </w:r>
      <w:r>
        <w:rPr>
          <w:color w:val="231F20"/>
          <w:spacing w:val="-2"/>
        </w:rPr>
        <w:t>equivalent </w:t>
      </w:r>
      <w:r>
        <w:rPr>
          <w:color w:val="231F20"/>
        </w:rPr>
        <w:t>yield</w:t>
      </w:r>
      <w:r>
        <w:rPr>
          <w:color w:val="231F20"/>
          <w:spacing w:val="-9"/>
        </w:rPr>
        <w:t> </w:t>
      </w:r>
      <w:r>
        <w:rPr>
          <w:color w:val="231F20"/>
        </w:rPr>
        <w:t>was</w:t>
      </w:r>
      <w:r>
        <w:rPr>
          <w:color w:val="231F20"/>
          <w:spacing w:val="-9"/>
        </w:rPr>
        <w:t> </w:t>
      </w:r>
      <w:r>
        <w:rPr>
          <w:color w:val="231F20"/>
        </w:rPr>
        <w:t>recorded</w:t>
      </w:r>
      <w:r>
        <w:rPr>
          <w:color w:val="231F20"/>
          <w:spacing w:val="-9"/>
        </w:rPr>
        <w:t> </w:t>
      </w:r>
      <w:r>
        <w:rPr>
          <w:color w:val="231F20"/>
        </w:rPr>
        <w:t>in</w:t>
      </w:r>
      <w:r>
        <w:rPr>
          <w:color w:val="231F20"/>
          <w:spacing w:val="-9"/>
        </w:rPr>
        <w:t> </w:t>
      </w:r>
      <w:r>
        <w:rPr>
          <w:color w:val="231F20"/>
        </w:rPr>
        <w:t>groundnut</w:t>
      </w:r>
      <w:r>
        <w:rPr>
          <w:color w:val="231F20"/>
          <w:spacing w:val="-9"/>
        </w:rPr>
        <w:t> </w:t>
      </w:r>
      <w:r>
        <w:rPr>
          <w:color w:val="231F20"/>
        </w:rPr>
        <w:t>+</w:t>
      </w:r>
      <w:r>
        <w:rPr>
          <w:color w:val="231F20"/>
          <w:spacing w:val="-9"/>
        </w:rPr>
        <w:t> </w:t>
      </w:r>
      <w:r>
        <w:rPr>
          <w:color w:val="231F20"/>
        </w:rPr>
        <w:t>little</w:t>
      </w:r>
      <w:r>
        <w:rPr>
          <w:color w:val="231F20"/>
          <w:spacing w:val="-9"/>
        </w:rPr>
        <w:t> </w:t>
      </w:r>
      <w:r>
        <w:rPr>
          <w:color w:val="231F20"/>
        </w:rPr>
        <w:t>millet</w:t>
      </w:r>
      <w:r>
        <w:rPr>
          <w:color w:val="231F20"/>
          <w:spacing w:val="-9"/>
        </w:rPr>
        <w:t> </w:t>
      </w:r>
      <w:r>
        <w:rPr>
          <w:color w:val="231F20"/>
        </w:rPr>
        <w:t>(5:4)</w:t>
      </w:r>
      <w:r>
        <w:rPr>
          <w:color w:val="231F20"/>
          <w:spacing w:val="-9"/>
        </w:rPr>
        <w:t> </w:t>
      </w:r>
      <w:r>
        <w:rPr>
          <w:color w:val="231F20"/>
        </w:rPr>
        <w:t>(T</w:t>
      </w:r>
      <w:r>
        <w:rPr>
          <w:color w:val="231F20"/>
          <w:vertAlign w:val="subscript"/>
        </w:rPr>
        <w:t>8</w:t>
      </w:r>
      <w:r>
        <w:rPr>
          <w:color w:val="231F20"/>
          <w:vertAlign w:val="baseline"/>
        </w:rPr>
        <w:t>). The</w:t>
      </w:r>
      <w:r>
        <w:rPr>
          <w:color w:val="231F20"/>
          <w:spacing w:val="-1"/>
          <w:vertAlign w:val="baseline"/>
        </w:rPr>
        <w:t> </w:t>
      </w:r>
      <w:r>
        <w:rPr>
          <w:color w:val="231F20"/>
          <w:vertAlign w:val="baseline"/>
        </w:rPr>
        <w:t>results</w:t>
      </w:r>
      <w:r>
        <w:rPr>
          <w:color w:val="231F20"/>
          <w:spacing w:val="-1"/>
          <w:vertAlign w:val="baseline"/>
        </w:rPr>
        <w:t> </w:t>
      </w:r>
      <w:r>
        <w:rPr>
          <w:color w:val="231F20"/>
          <w:vertAlign w:val="baseline"/>
        </w:rPr>
        <w:t>corroborate</w:t>
      </w:r>
      <w:r>
        <w:rPr>
          <w:color w:val="231F20"/>
          <w:spacing w:val="-1"/>
          <w:vertAlign w:val="baseline"/>
        </w:rPr>
        <w:t> </w:t>
      </w:r>
      <w:r>
        <w:rPr>
          <w:color w:val="231F20"/>
          <w:vertAlign w:val="baseline"/>
        </w:rPr>
        <w:t>the</w:t>
      </w:r>
      <w:r>
        <w:rPr>
          <w:color w:val="231F20"/>
          <w:spacing w:val="-1"/>
          <w:vertAlign w:val="baseline"/>
        </w:rPr>
        <w:t> </w:t>
      </w:r>
      <w:r>
        <w:rPr>
          <w:color w:val="231F20"/>
          <w:vertAlign w:val="baseline"/>
        </w:rPr>
        <w:t>findings</w:t>
      </w:r>
      <w:r>
        <w:rPr>
          <w:color w:val="231F20"/>
          <w:spacing w:val="-1"/>
          <w:vertAlign w:val="baseline"/>
        </w:rPr>
        <w:t> </w:t>
      </w:r>
      <w:r>
        <w:rPr>
          <w:color w:val="231F20"/>
          <w:vertAlign w:val="baseline"/>
        </w:rPr>
        <w:t>of</w:t>
      </w:r>
      <w:r>
        <w:rPr>
          <w:color w:val="231F20"/>
          <w:spacing w:val="40"/>
          <w:vertAlign w:val="baseline"/>
        </w:rPr>
        <w:t> </w:t>
      </w:r>
      <w:r>
        <w:rPr>
          <w:color w:val="231F20"/>
          <w:vertAlign w:val="baseline"/>
        </w:rPr>
        <w:t>Shivakumar</w:t>
      </w:r>
      <w:r>
        <w:rPr>
          <w:color w:val="231F20"/>
          <w:spacing w:val="-1"/>
          <w:vertAlign w:val="baseline"/>
        </w:rPr>
        <w:t> </w:t>
      </w:r>
      <w:r>
        <w:rPr>
          <w:color w:val="231F20"/>
          <w:vertAlign w:val="baseline"/>
        </w:rPr>
        <w:t>and Yadahalli (1995), Maitra </w:t>
      </w:r>
      <w:r>
        <w:rPr>
          <w:i/>
          <w:color w:val="231F20"/>
          <w:vertAlign w:val="baseline"/>
        </w:rPr>
        <w:t>et al</w:t>
      </w:r>
      <w:r>
        <w:rPr>
          <w:color w:val="231F20"/>
          <w:vertAlign w:val="baseline"/>
        </w:rPr>
        <w:t>. (2000), Shwethanjali </w:t>
      </w:r>
      <w:r>
        <w:rPr>
          <w:i/>
          <w:color w:val="231F20"/>
          <w:vertAlign w:val="baseline"/>
        </w:rPr>
        <w:t>et al</w:t>
      </w:r>
      <w:r>
        <w:rPr>
          <w:color w:val="231F20"/>
          <w:vertAlign w:val="baseline"/>
        </w:rPr>
        <w:t>. (2018) and Lenka </w:t>
      </w:r>
      <w:r>
        <w:rPr>
          <w:i/>
          <w:color w:val="231F20"/>
          <w:vertAlign w:val="baseline"/>
        </w:rPr>
        <w:t>et al</w:t>
      </w:r>
      <w:r>
        <w:rPr>
          <w:color w:val="231F20"/>
          <w:vertAlign w:val="baseline"/>
        </w:rPr>
        <w:t>. (2023).</w:t>
      </w:r>
    </w:p>
    <w:p>
      <w:pPr>
        <w:pStyle w:val="BodyText"/>
        <w:spacing w:line="249" w:lineRule="auto" w:before="119"/>
        <w:ind w:firstLine="432"/>
      </w:pPr>
      <w:r>
        <w:rPr>
          <w:color w:val="231F20"/>
        </w:rPr>
        <w:t>In</w:t>
      </w:r>
      <w:r>
        <w:rPr>
          <w:color w:val="231F20"/>
          <w:spacing w:val="40"/>
        </w:rPr>
        <w:t> </w:t>
      </w:r>
      <w:r>
        <w:rPr>
          <w:color w:val="231F20"/>
        </w:rPr>
        <w:t>the</w:t>
      </w:r>
      <w:r>
        <w:rPr>
          <w:color w:val="231F20"/>
          <w:spacing w:val="40"/>
        </w:rPr>
        <w:t> </w:t>
      </w:r>
      <w:r>
        <w:rPr>
          <w:color w:val="231F20"/>
        </w:rPr>
        <w:t>intercropping</w:t>
      </w:r>
      <w:r>
        <w:rPr>
          <w:color w:val="231F20"/>
          <w:spacing w:val="40"/>
        </w:rPr>
        <w:t> </w:t>
      </w:r>
      <w:r>
        <w:rPr>
          <w:color w:val="231F20"/>
        </w:rPr>
        <w:t>system,</w:t>
      </w:r>
      <w:r>
        <w:rPr>
          <w:color w:val="231F20"/>
          <w:spacing w:val="40"/>
        </w:rPr>
        <w:t> </w:t>
      </w:r>
      <w:r>
        <w:rPr>
          <w:color w:val="231F20"/>
        </w:rPr>
        <w:t>both</w:t>
      </w:r>
      <w:r>
        <w:rPr>
          <w:color w:val="231F20"/>
          <w:spacing w:val="40"/>
        </w:rPr>
        <w:t> </w:t>
      </w:r>
      <w:r>
        <w:rPr>
          <w:color w:val="231F20"/>
        </w:rPr>
        <w:t>grain</w:t>
      </w:r>
      <w:r>
        <w:rPr>
          <w:color w:val="231F20"/>
          <w:spacing w:val="40"/>
        </w:rPr>
        <w:t> </w:t>
      </w:r>
      <w:r>
        <w:rPr>
          <w:color w:val="231F20"/>
        </w:rPr>
        <w:t>and</w:t>
      </w:r>
      <w:r>
        <w:rPr>
          <w:color w:val="231F20"/>
          <w:spacing w:val="40"/>
        </w:rPr>
        <w:t> </w:t>
      </w:r>
      <w:r>
        <w:rPr>
          <w:color w:val="231F20"/>
        </w:rPr>
        <w:t>straw yields of millets were lower at both row ratios compared to sole cropping. Higher yields in sole cropping</w:t>
      </w:r>
      <w:r>
        <w:rPr>
          <w:color w:val="231F20"/>
          <w:spacing w:val="-14"/>
        </w:rPr>
        <w:t> </w:t>
      </w:r>
      <w:r>
        <w:rPr>
          <w:color w:val="231F20"/>
        </w:rPr>
        <w:t>likely</w:t>
      </w:r>
      <w:r>
        <w:rPr>
          <w:color w:val="231F20"/>
          <w:spacing w:val="-14"/>
        </w:rPr>
        <w:t> </w:t>
      </w:r>
      <w:r>
        <w:rPr>
          <w:color w:val="231F20"/>
        </w:rPr>
        <w:t>resulted</w:t>
      </w:r>
      <w:r>
        <w:rPr>
          <w:color w:val="231F20"/>
          <w:spacing w:val="-14"/>
        </w:rPr>
        <w:t> </w:t>
      </w:r>
      <w:r>
        <w:rPr>
          <w:color w:val="231F20"/>
        </w:rPr>
        <w:t>from</w:t>
      </w:r>
      <w:r>
        <w:rPr>
          <w:color w:val="231F20"/>
          <w:spacing w:val="-13"/>
        </w:rPr>
        <w:t> </w:t>
      </w:r>
      <w:r>
        <w:rPr>
          <w:color w:val="231F20"/>
        </w:rPr>
        <w:t>the</w:t>
      </w:r>
      <w:r>
        <w:rPr>
          <w:color w:val="231F20"/>
          <w:spacing w:val="-14"/>
        </w:rPr>
        <w:t> </w:t>
      </w:r>
      <w:r>
        <w:rPr>
          <w:color w:val="231F20"/>
        </w:rPr>
        <w:t>absence</w:t>
      </w:r>
      <w:r>
        <w:rPr>
          <w:color w:val="231F20"/>
          <w:spacing w:val="-14"/>
        </w:rPr>
        <w:t> </w:t>
      </w:r>
      <w:r>
        <w:rPr>
          <w:color w:val="231F20"/>
        </w:rPr>
        <w:t>of</w:t>
      </w:r>
      <w:r>
        <w:rPr>
          <w:color w:val="231F20"/>
          <w:spacing w:val="-14"/>
        </w:rPr>
        <w:t> </w:t>
      </w:r>
      <w:r>
        <w:rPr>
          <w:color w:val="231F20"/>
        </w:rPr>
        <w:t>interspecific competition,</w:t>
      </w:r>
      <w:r>
        <w:rPr>
          <w:color w:val="231F20"/>
          <w:spacing w:val="40"/>
        </w:rPr>
        <w:t> </w:t>
      </w:r>
      <w:r>
        <w:rPr>
          <w:color w:val="231F20"/>
        </w:rPr>
        <w:t>with</w:t>
      </w:r>
      <w:r>
        <w:rPr>
          <w:color w:val="231F20"/>
          <w:spacing w:val="40"/>
        </w:rPr>
        <w:t> </w:t>
      </w:r>
      <w:r>
        <w:rPr>
          <w:color w:val="231F20"/>
        </w:rPr>
        <w:t>only</w:t>
      </w:r>
      <w:r>
        <w:rPr>
          <w:color w:val="231F20"/>
          <w:spacing w:val="40"/>
        </w:rPr>
        <w:t> </w:t>
      </w:r>
      <w:r>
        <w:rPr>
          <w:color w:val="231F20"/>
        </w:rPr>
        <w:t>intraspecific</w:t>
      </w:r>
      <w:r>
        <w:rPr>
          <w:color w:val="231F20"/>
          <w:spacing w:val="40"/>
        </w:rPr>
        <w:t> </w:t>
      </w:r>
      <w:r>
        <w:rPr>
          <w:color w:val="231F20"/>
        </w:rPr>
        <w:t>competition</w:t>
      </w:r>
      <w:r>
        <w:rPr>
          <w:color w:val="231F20"/>
          <w:spacing w:val="40"/>
        </w:rPr>
        <w:t> </w:t>
      </w:r>
      <w:r>
        <w:rPr>
          <w:color w:val="231F20"/>
        </w:rPr>
        <w:t>and</w:t>
      </w:r>
      <w:r>
        <w:rPr>
          <w:color w:val="231F20"/>
          <w:spacing w:val="40"/>
        </w:rPr>
        <w:t> </w:t>
      </w:r>
      <w:r>
        <w:rPr>
          <w:color w:val="231F20"/>
        </w:rPr>
        <w:t>a full plant population. Competition from groundnut</w:t>
      </w:r>
      <w:r>
        <w:rPr>
          <w:color w:val="231F20"/>
          <w:spacing w:val="80"/>
          <w:w w:val="150"/>
        </w:rPr>
        <w:t> </w:t>
      </w:r>
      <w:r>
        <w:rPr>
          <w:color w:val="231F20"/>
        </w:rPr>
        <w:t>for natural resources also hindered millet development in the intercropping system. Among the intercropping treatments, the 5:4 row ratio of groundnut + millets yielded higher grain and straw compared to the 5:2</w:t>
      </w:r>
      <w:r>
        <w:rPr>
          <w:color w:val="231F20"/>
          <w:spacing w:val="40"/>
        </w:rPr>
        <w:t> </w:t>
      </w:r>
      <w:r>
        <w:rPr>
          <w:color w:val="231F20"/>
        </w:rPr>
        <w:t>ratio, primarily due to an additional millet row, greater spacing</w:t>
      </w:r>
      <w:r>
        <w:rPr>
          <w:color w:val="231F20"/>
          <w:spacing w:val="-14"/>
        </w:rPr>
        <w:t> </w:t>
      </w:r>
      <w:r>
        <w:rPr>
          <w:color w:val="231F20"/>
        </w:rPr>
        <w:t>between</w:t>
      </w:r>
      <w:r>
        <w:rPr>
          <w:color w:val="231F20"/>
          <w:spacing w:val="-14"/>
        </w:rPr>
        <w:t> </w:t>
      </w:r>
      <w:r>
        <w:rPr>
          <w:color w:val="231F20"/>
        </w:rPr>
        <w:t>millet</w:t>
      </w:r>
      <w:r>
        <w:rPr>
          <w:color w:val="231F20"/>
          <w:spacing w:val="-14"/>
        </w:rPr>
        <w:t> </w:t>
      </w:r>
      <w:r>
        <w:rPr>
          <w:color w:val="231F20"/>
        </w:rPr>
        <w:t>rows,</w:t>
      </w:r>
      <w:r>
        <w:rPr>
          <w:color w:val="231F20"/>
          <w:spacing w:val="-13"/>
        </w:rPr>
        <w:t> </w:t>
      </w:r>
      <w:r>
        <w:rPr>
          <w:color w:val="231F20"/>
        </w:rPr>
        <w:t>improved</w:t>
      </w:r>
      <w:r>
        <w:rPr>
          <w:color w:val="231F20"/>
          <w:spacing w:val="-14"/>
        </w:rPr>
        <w:t> </w:t>
      </w:r>
      <w:r>
        <w:rPr>
          <w:color w:val="231F20"/>
        </w:rPr>
        <w:t>light</w:t>
      </w:r>
      <w:r>
        <w:rPr>
          <w:color w:val="231F20"/>
          <w:spacing w:val="-14"/>
        </w:rPr>
        <w:t> </w:t>
      </w:r>
      <w:r>
        <w:rPr>
          <w:color w:val="231F20"/>
        </w:rPr>
        <w:t>availability, </w:t>
      </w:r>
      <w:r>
        <w:rPr>
          <w:color w:val="231F20"/>
          <w:spacing w:val="-2"/>
        </w:rPr>
        <w:t>efficient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resource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use,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and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balanced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intra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and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interspecific </w:t>
      </w:r>
      <w:r>
        <w:rPr>
          <w:color w:val="231F20"/>
        </w:rPr>
        <w:t>competition (Table 2). These factors enhanced yield </w:t>
      </w:r>
      <w:r>
        <w:rPr>
          <w:color w:val="231F20"/>
          <w:spacing w:val="-2"/>
        </w:rPr>
        <w:t>attributing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parameters,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likely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contributing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to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the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increased </w:t>
      </w:r>
      <w:r>
        <w:rPr>
          <w:color w:val="231F20"/>
        </w:rPr>
        <w:t>yield. These results were in agreement with studies of Manjunath and Salakinkop (2017), Shwethanjali </w:t>
      </w:r>
      <w:r>
        <w:rPr>
          <w:i/>
          <w:color w:val="231F20"/>
        </w:rPr>
        <w:t>et al., </w:t>
      </w:r>
      <w:r>
        <w:rPr>
          <w:color w:val="231F20"/>
        </w:rPr>
        <w:t>(2018) and Lenka </w:t>
      </w:r>
      <w:r>
        <w:rPr>
          <w:i/>
          <w:color w:val="231F20"/>
        </w:rPr>
        <w:t>et al. </w:t>
      </w:r>
      <w:r>
        <w:rPr>
          <w:color w:val="231F20"/>
        </w:rPr>
        <w:t>(2023).</w:t>
      </w:r>
    </w:p>
    <w:p>
      <w:pPr>
        <w:pStyle w:val="BodyText"/>
        <w:spacing w:line="249" w:lineRule="auto" w:before="132"/>
        <w:ind w:firstLine="432"/>
      </w:pPr>
      <w:r>
        <w:rPr>
          <w:color w:val="231F20"/>
        </w:rPr>
        <w:t>Among</w:t>
      </w:r>
      <w:r>
        <w:rPr>
          <w:color w:val="231F20"/>
          <w:spacing w:val="-9"/>
        </w:rPr>
        <w:t> </w:t>
      </w:r>
      <w:r>
        <w:rPr>
          <w:color w:val="231F20"/>
        </w:rPr>
        <w:t>the</w:t>
      </w:r>
      <w:r>
        <w:rPr>
          <w:color w:val="231F20"/>
          <w:spacing w:val="-9"/>
        </w:rPr>
        <w:t> </w:t>
      </w:r>
      <w:r>
        <w:rPr>
          <w:color w:val="231F20"/>
        </w:rPr>
        <w:t>different</w:t>
      </w:r>
      <w:r>
        <w:rPr>
          <w:color w:val="231F20"/>
          <w:spacing w:val="-9"/>
        </w:rPr>
        <w:t> </w:t>
      </w:r>
      <w:r>
        <w:rPr>
          <w:color w:val="231F20"/>
        </w:rPr>
        <w:t>treatments,</w:t>
      </w:r>
      <w:r>
        <w:rPr>
          <w:color w:val="231F20"/>
          <w:spacing w:val="-9"/>
        </w:rPr>
        <w:t> </w:t>
      </w:r>
      <w:r>
        <w:rPr>
          <w:color w:val="231F20"/>
        </w:rPr>
        <w:t>groundnut</w:t>
      </w:r>
      <w:r>
        <w:rPr>
          <w:color w:val="231F20"/>
          <w:spacing w:val="-9"/>
        </w:rPr>
        <w:t> </w:t>
      </w:r>
      <w:r>
        <w:rPr>
          <w:color w:val="231F20"/>
        </w:rPr>
        <w:t>+</w:t>
      </w:r>
      <w:r>
        <w:rPr>
          <w:color w:val="231F20"/>
          <w:spacing w:val="-9"/>
        </w:rPr>
        <w:t> </w:t>
      </w:r>
      <w:r>
        <w:rPr>
          <w:color w:val="231F20"/>
        </w:rPr>
        <w:t>finger millet (5:2) (T</w:t>
      </w:r>
      <w:r>
        <w:rPr>
          <w:color w:val="231F20"/>
          <w:vertAlign w:val="subscript"/>
        </w:rPr>
        <w:t>7</w:t>
      </w:r>
      <w:r>
        <w:rPr>
          <w:color w:val="231F20"/>
          <w:vertAlign w:val="baseline"/>
        </w:rPr>
        <w:t>) generated significantly higher gross</w:t>
      </w:r>
      <w:r>
        <w:rPr>
          <w:color w:val="231F20"/>
          <w:spacing w:val="40"/>
          <w:vertAlign w:val="baseline"/>
        </w:rPr>
        <w:t> </w:t>
      </w:r>
      <w:r>
        <w:rPr>
          <w:color w:val="231F20"/>
          <w:vertAlign w:val="baseline"/>
        </w:rPr>
        <w:t>and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net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returns,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along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with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a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superior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benefit: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cost</w:t>
      </w:r>
      <w:r>
        <w:rPr>
          <w:color w:val="231F20"/>
          <w:spacing w:val="-2"/>
          <w:vertAlign w:val="baseline"/>
        </w:rPr>
        <w:t> </w:t>
      </w:r>
      <w:r>
        <w:rPr>
          <w:color w:val="231F20"/>
          <w:vertAlign w:val="baseline"/>
        </w:rPr>
        <w:t>ratio, followed by groundnut + finger millet (5:4) (T</w:t>
      </w:r>
      <w:r>
        <w:rPr>
          <w:color w:val="231F20"/>
          <w:vertAlign w:val="subscript"/>
        </w:rPr>
        <w:t>10</w:t>
      </w:r>
      <w:r>
        <w:rPr>
          <w:color w:val="231F20"/>
          <w:vertAlign w:val="baseline"/>
        </w:rPr>
        <w:t>). This was mainly due to higher price and yield of groundnut. While the sole crop of little millet (T</w:t>
      </w:r>
      <w:r>
        <w:rPr>
          <w:color w:val="231F20"/>
          <w:vertAlign w:val="subscript"/>
        </w:rPr>
        <w:t>4</w:t>
      </w:r>
      <w:r>
        <w:rPr>
          <w:color w:val="231F20"/>
          <w:vertAlign w:val="baseline"/>
        </w:rPr>
        <w:t>) registered the lowest</w:t>
      </w:r>
      <w:r>
        <w:rPr>
          <w:color w:val="231F20"/>
          <w:spacing w:val="40"/>
          <w:vertAlign w:val="baseline"/>
        </w:rPr>
        <w:t> </w:t>
      </w:r>
      <w:r>
        <w:rPr>
          <w:color w:val="231F20"/>
          <w:vertAlign w:val="baseline"/>
        </w:rPr>
        <w:t>gross</w:t>
      </w:r>
      <w:r>
        <w:rPr>
          <w:color w:val="231F20"/>
          <w:spacing w:val="40"/>
          <w:vertAlign w:val="baseline"/>
        </w:rPr>
        <w:t> </w:t>
      </w:r>
      <w:r>
        <w:rPr>
          <w:color w:val="231F20"/>
          <w:vertAlign w:val="baseline"/>
        </w:rPr>
        <w:t>returns,</w:t>
      </w:r>
      <w:r>
        <w:rPr>
          <w:color w:val="231F20"/>
          <w:spacing w:val="40"/>
          <w:vertAlign w:val="baseline"/>
        </w:rPr>
        <w:t> </w:t>
      </w:r>
      <w:r>
        <w:rPr>
          <w:color w:val="231F20"/>
          <w:vertAlign w:val="baseline"/>
        </w:rPr>
        <w:t>net</w:t>
      </w:r>
      <w:r>
        <w:rPr>
          <w:color w:val="231F20"/>
          <w:spacing w:val="40"/>
          <w:vertAlign w:val="baseline"/>
        </w:rPr>
        <w:t> </w:t>
      </w:r>
      <w:r>
        <w:rPr>
          <w:color w:val="231F20"/>
          <w:vertAlign w:val="baseline"/>
        </w:rPr>
        <w:t>returns,</w:t>
      </w:r>
      <w:r>
        <w:rPr>
          <w:color w:val="231F20"/>
          <w:spacing w:val="40"/>
          <w:vertAlign w:val="baseline"/>
        </w:rPr>
        <w:t> </w:t>
      </w:r>
      <w:r>
        <w:rPr>
          <w:color w:val="231F20"/>
          <w:vertAlign w:val="baseline"/>
        </w:rPr>
        <w:t>and</w:t>
      </w:r>
      <w:r>
        <w:rPr>
          <w:color w:val="231F20"/>
          <w:spacing w:val="40"/>
          <w:vertAlign w:val="baseline"/>
        </w:rPr>
        <w:t> </w:t>
      </w:r>
      <w:r>
        <w:rPr>
          <w:color w:val="231F20"/>
          <w:vertAlign w:val="baseline"/>
        </w:rPr>
        <w:t>benefit:</w:t>
      </w:r>
      <w:r>
        <w:rPr>
          <w:color w:val="231F20"/>
          <w:spacing w:val="40"/>
          <w:vertAlign w:val="baseline"/>
        </w:rPr>
        <w:t> </w:t>
      </w:r>
      <w:r>
        <w:rPr>
          <w:color w:val="231F20"/>
          <w:vertAlign w:val="baseline"/>
        </w:rPr>
        <w:t>cost ratio. These results were in agreement with studies of Manjunath and Salakinkop (2017), Shwethanjali </w:t>
      </w:r>
      <w:r>
        <w:rPr>
          <w:i/>
          <w:color w:val="231F20"/>
          <w:vertAlign w:val="baseline"/>
        </w:rPr>
        <w:t>et al</w:t>
      </w:r>
      <w:r>
        <w:rPr>
          <w:color w:val="231F20"/>
          <w:vertAlign w:val="baseline"/>
        </w:rPr>
        <w:t>., (2018) and Lenka </w:t>
      </w:r>
      <w:r>
        <w:rPr>
          <w:i/>
          <w:color w:val="231F20"/>
          <w:vertAlign w:val="baseline"/>
        </w:rPr>
        <w:t>et al. </w:t>
      </w:r>
      <w:r>
        <w:rPr>
          <w:color w:val="231F20"/>
          <w:vertAlign w:val="baseline"/>
        </w:rPr>
        <w:t>(2023).</w:t>
      </w:r>
    </w:p>
    <w:p>
      <w:pPr>
        <w:pStyle w:val="BodyText"/>
        <w:spacing w:line="249" w:lineRule="auto" w:before="124"/>
        <w:ind w:firstLine="432"/>
      </w:pPr>
      <w:r>
        <w:rPr>
          <w:color w:val="231F20"/>
          <w:spacing w:val="-2"/>
        </w:rPr>
        <w:t>The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present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study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clearly</w:t>
      </w:r>
      <w:r>
        <w:rPr>
          <w:color w:val="231F20"/>
          <w:spacing w:val="-11"/>
        </w:rPr>
        <w:t> </w:t>
      </w:r>
      <w:r>
        <w:rPr>
          <w:color w:val="231F20"/>
          <w:spacing w:val="-2"/>
        </w:rPr>
        <w:t>indicates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that</w:t>
      </w:r>
      <w:r>
        <w:rPr>
          <w:color w:val="231F20"/>
          <w:spacing w:val="-12"/>
        </w:rPr>
        <w:t> </w:t>
      </w:r>
      <w:r>
        <w:rPr>
          <w:color w:val="231F20"/>
          <w:spacing w:val="-2"/>
        </w:rPr>
        <w:t>intercropping </w:t>
      </w:r>
      <w:r>
        <w:rPr>
          <w:color w:val="231F20"/>
        </w:rPr>
        <w:t>of groundnut + finger millet at a 5:2 row proportion is found</w:t>
      </w:r>
      <w:r>
        <w:rPr>
          <w:color w:val="231F20"/>
          <w:spacing w:val="-13"/>
        </w:rPr>
        <w:t> </w:t>
      </w:r>
      <w:r>
        <w:rPr>
          <w:color w:val="231F20"/>
        </w:rPr>
        <w:t>to</w:t>
      </w:r>
      <w:r>
        <w:rPr>
          <w:color w:val="231F20"/>
          <w:spacing w:val="-13"/>
        </w:rPr>
        <w:t> </w:t>
      </w:r>
      <w:r>
        <w:rPr>
          <w:color w:val="231F20"/>
        </w:rPr>
        <w:t>be</w:t>
      </w:r>
      <w:r>
        <w:rPr>
          <w:color w:val="231F20"/>
          <w:spacing w:val="-13"/>
        </w:rPr>
        <w:t> </w:t>
      </w:r>
      <w:r>
        <w:rPr>
          <w:color w:val="231F20"/>
        </w:rPr>
        <w:t>the</w:t>
      </w:r>
      <w:r>
        <w:rPr>
          <w:color w:val="231F20"/>
          <w:spacing w:val="-13"/>
        </w:rPr>
        <w:t> </w:t>
      </w:r>
      <w:r>
        <w:rPr>
          <w:color w:val="231F20"/>
        </w:rPr>
        <w:t>best</w:t>
      </w:r>
      <w:r>
        <w:rPr>
          <w:color w:val="231F20"/>
          <w:spacing w:val="-13"/>
        </w:rPr>
        <w:t> </w:t>
      </w:r>
      <w:r>
        <w:rPr>
          <w:color w:val="231F20"/>
        </w:rPr>
        <w:t>intercrop</w:t>
      </w:r>
      <w:r>
        <w:rPr>
          <w:color w:val="231F20"/>
          <w:spacing w:val="-13"/>
        </w:rPr>
        <w:t> </w:t>
      </w:r>
      <w:r>
        <w:rPr>
          <w:color w:val="231F20"/>
        </w:rPr>
        <w:t>for</w:t>
      </w:r>
      <w:r>
        <w:rPr>
          <w:color w:val="231F20"/>
          <w:spacing w:val="-13"/>
        </w:rPr>
        <w:t> </w:t>
      </w:r>
      <w:r>
        <w:rPr>
          <w:color w:val="231F20"/>
        </w:rPr>
        <w:t>getting</w:t>
      </w:r>
      <w:r>
        <w:rPr>
          <w:color w:val="231F20"/>
          <w:spacing w:val="-13"/>
        </w:rPr>
        <w:t> </w:t>
      </w:r>
      <w:r>
        <w:rPr>
          <w:color w:val="231F20"/>
        </w:rPr>
        <w:t>higher</w:t>
      </w:r>
      <w:r>
        <w:rPr>
          <w:color w:val="231F20"/>
          <w:spacing w:val="-13"/>
        </w:rPr>
        <w:t> </w:t>
      </w:r>
      <w:r>
        <w:rPr>
          <w:color w:val="231F20"/>
        </w:rPr>
        <w:t>yield</w:t>
      </w:r>
      <w:r>
        <w:rPr>
          <w:color w:val="231F20"/>
          <w:spacing w:val="-13"/>
        </w:rPr>
        <w:t> </w:t>
      </w:r>
      <w:r>
        <w:rPr>
          <w:color w:val="231F20"/>
        </w:rPr>
        <w:t>and economic advantage in Southern</w:t>
      </w:r>
      <w:r>
        <w:rPr>
          <w:color w:val="231F20"/>
          <w:spacing w:val="-2"/>
        </w:rPr>
        <w:t> </w:t>
      </w:r>
      <w:r>
        <w:rPr>
          <w:color w:val="231F20"/>
        </w:rPr>
        <w:t>Agro-climatic zone of Andhra Pradesh.</w:t>
      </w:r>
    </w:p>
    <w:p>
      <w:pPr>
        <w:pStyle w:val="Heading1"/>
        <w:spacing w:before="125"/>
      </w:pPr>
      <w:r>
        <w:rPr>
          <w:color w:val="231F20"/>
          <w:spacing w:val="-2"/>
        </w:rPr>
        <w:t>LITERATURE</w:t>
      </w:r>
      <w:r>
        <w:rPr>
          <w:color w:val="231F20"/>
          <w:spacing w:val="-3"/>
        </w:rPr>
        <w:t> </w:t>
      </w:r>
      <w:r>
        <w:rPr>
          <w:color w:val="231F20"/>
          <w:spacing w:val="-2"/>
        </w:rPr>
        <w:t>CITED</w:t>
      </w:r>
    </w:p>
    <w:p>
      <w:pPr>
        <w:pStyle w:val="BodyText"/>
        <w:spacing w:line="249" w:lineRule="auto" w:before="122"/>
        <w:ind w:left="433" w:hanging="432"/>
      </w:pPr>
      <w:r>
        <w:rPr>
          <w:color w:val="231F20"/>
        </w:rPr>
        <w:t>Shivakumar,</w:t>
      </w:r>
      <w:r>
        <w:rPr>
          <w:color w:val="231F20"/>
          <w:spacing w:val="-1"/>
        </w:rPr>
        <w:t> </w:t>
      </w:r>
      <w:r>
        <w:rPr>
          <w:color w:val="231F20"/>
        </w:rPr>
        <w:t>B.G</w:t>
      </w:r>
      <w:r>
        <w:rPr>
          <w:color w:val="231F20"/>
          <w:spacing w:val="-1"/>
        </w:rPr>
        <w:t> </w:t>
      </w:r>
      <w:r>
        <w:rPr>
          <w:color w:val="231F20"/>
        </w:rPr>
        <w:t>and</w:t>
      </w:r>
      <w:r>
        <w:rPr>
          <w:color w:val="231F20"/>
          <w:spacing w:val="-7"/>
        </w:rPr>
        <w:t> </w:t>
      </w:r>
      <w:r>
        <w:rPr>
          <w:color w:val="231F20"/>
        </w:rPr>
        <w:t>Yadahalli,</w:t>
      </w:r>
      <w:r>
        <w:rPr>
          <w:color w:val="231F20"/>
          <w:spacing w:val="-7"/>
        </w:rPr>
        <w:t> </w:t>
      </w:r>
      <w:r>
        <w:rPr>
          <w:color w:val="231F20"/>
        </w:rPr>
        <w:t>Y.H.</w:t>
      </w:r>
      <w:r>
        <w:rPr>
          <w:color w:val="231F20"/>
          <w:spacing w:val="-1"/>
        </w:rPr>
        <w:t> </w:t>
      </w:r>
      <w:r>
        <w:rPr>
          <w:color w:val="231F20"/>
        </w:rPr>
        <w:t>1995.</w:t>
      </w:r>
      <w:r>
        <w:rPr>
          <w:color w:val="231F20"/>
          <w:spacing w:val="-1"/>
        </w:rPr>
        <w:t> </w:t>
      </w:r>
      <w:r>
        <w:rPr>
          <w:color w:val="231F20"/>
        </w:rPr>
        <w:t>Economics of intercropping in finger millet under late </w:t>
      </w:r>
      <w:r>
        <w:rPr>
          <w:color w:val="231F20"/>
        </w:rPr>
        <w:t>sown dryland conditions. </w:t>
      </w:r>
      <w:r>
        <w:rPr>
          <w:i/>
          <w:color w:val="231F20"/>
        </w:rPr>
        <w:t>Farming Systems</w:t>
      </w:r>
      <w:r>
        <w:rPr>
          <w:color w:val="231F20"/>
        </w:rPr>
        <w:t>. 1(1-2): 1-7.</w:t>
      </w:r>
    </w:p>
    <w:p>
      <w:pPr>
        <w:pStyle w:val="BodyText"/>
        <w:spacing w:line="249" w:lineRule="auto" w:before="118"/>
        <w:ind w:left="433" w:hanging="432"/>
      </w:pPr>
      <w:r>
        <w:rPr>
          <w:color w:val="231F20"/>
        </w:rPr>
        <w:t>Maitra, S., Ghosh, D.C., Sounda, G., Jana, P.K </w:t>
      </w:r>
      <w:r>
        <w:rPr>
          <w:color w:val="231F20"/>
        </w:rPr>
        <w:t>and</w:t>
      </w:r>
      <w:r>
        <w:rPr>
          <w:color w:val="231F20"/>
          <w:spacing w:val="40"/>
        </w:rPr>
        <w:t> </w:t>
      </w:r>
      <w:r>
        <w:rPr>
          <w:color w:val="231F20"/>
        </w:rPr>
        <w:t>Roy, D.K. 2000. Productivity, competition and economics</w:t>
      </w:r>
      <w:r>
        <w:rPr>
          <w:color w:val="231F20"/>
          <w:spacing w:val="-13"/>
        </w:rPr>
        <w:t> </w:t>
      </w:r>
      <w:r>
        <w:rPr>
          <w:color w:val="231F20"/>
        </w:rPr>
        <w:t>of</w:t>
      </w:r>
      <w:r>
        <w:rPr>
          <w:color w:val="231F20"/>
          <w:spacing w:val="-13"/>
        </w:rPr>
        <w:t> </w:t>
      </w:r>
      <w:r>
        <w:rPr>
          <w:color w:val="231F20"/>
        </w:rPr>
        <w:t>intercropping</w:t>
      </w:r>
      <w:r>
        <w:rPr>
          <w:color w:val="231F20"/>
          <w:spacing w:val="-13"/>
        </w:rPr>
        <w:t> </w:t>
      </w:r>
      <w:r>
        <w:rPr>
          <w:color w:val="231F20"/>
        </w:rPr>
        <w:t>legumes</w:t>
      </w:r>
      <w:r>
        <w:rPr>
          <w:color w:val="231F20"/>
          <w:spacing w:val="-13"/>
        </w:rPr>
        <w:t> </w:t>
      </w:r>
      <w:r>
        <w:rPr>
          <w:color w:val="231F20"/>
        </w:rPr>
        <w:t>in</w:t>
      </w:r>
      <w:r>
        <w:rPr>
          <w:color w:val="231F20"/>
          <w:spacing w:val="-13"/>
        </w:rPr>
        <w:t> </w:t>
      </w:r>
      <w:r>
        <w:rPr>
          <w:color w:val="231F20"/>
        </w:rPr>
        <w:t>finger</w:t>
      </w:r>
      <w:r>
        <w:rPr>
          <w:color w:val="231F20"/>
          <w:spacing w:val="-13"/>
        </w:rPr>
        <w:t> </w:t>
      </w:r>
      <w:r>
        <w:rPr>
          <w:color w:val="231F20"/>
          <w:spacing w:val="-2"/>
        </w:rPr>
        <w:t>millet</w:t>
      </w:r>
    </w:p>
    <w:p>
      <w:pPr>
        <w:spacing w:line="249" w:lineRule="auto" w:before="91"/>
        <w:ind w:left="433" w:right="140" w:firstLine="0"/>
        <w:jc w:val="both"/>
        <w:rPr>
          <w:sz w:val="22"/>
        </w:rPr>
      </w:pPr>
      <w:r>
        <w:rPr/>
        <w:br w:type="column"/>
      </w:r>
      <w:r>
        <w:rPr>
          <w:color w:val="231F20"/>
          <w:sz w:val="22"/>
        </w:rPr>
        <w:t>(</w:t>
      </w:r>
      <w:r>
        <w:rPr>
          <w:i/>
          <w:color w:val="231F20"/>
          <w:sz w:val="22"/>
        </w:rPr>
        <w:t>Eleusine coracana</w:t>
      </w:r>
      <w:r>
        <w:rPr>
          <w:color w:val="231F20"/>
          <w:sz w:val="22"/>
        </w:rPr>
        <w:t>) at different fertility </w:t>
      </w:r>
      <w:r>
        <w:rPr>
          <w:color w:val="231F20"/>
          <w:sz w:val="22"/>
        </w:rPr>
        <w:t>levels. </w:t>
      </w:r>
      <w:r>
        <w:rPr>
          <w:i/>
          <w:color w:val="231F20"/>
          <w:sz w:val="22"/>
        </w:rPr>
        <w:t>Indian Journal of Agricultural Sciences. </w:t>
      </w:r>
      <w:r>
        <w:rPr>
          <w:color w:val="231F20"/>
          <w:sz w:val="22"/>
        </w:rPr>
        <w:t>70(12): </w:t>
      </w:r>
      <w:r>
        <w:rPr>
          <w:color w:val="231F20"/>
          <w:spacing w:val="-2"/>
          <w:sz w:val="22"/>
        </w:rPr>
        <w:t>824-828.</w:t>
      </w:r>
    </w:p>
    <w:p>
      <w:pPr>
        <w:pStyle w:val="BodyText"/>
        <w:spacing w:line="249" w:lineRule="auto" w:before="118"/>
        <w:ind w:left="433" w:right="140" w:hanging="432"/>
      </w:pPr>
      <w:r>
        <w:rPr>
          <w:color w:val="231F20"/>
        </w:rPr>
        <w:t>Shivaraj, D.H. 2015. Intercropping of groundnut </w:t>
      </w:r>
      <w:r>
        <w:rPr>
          <w:color w:val="231F20"/>
        </w:rPr>
        <w:t>with minor</w:t>
      </w:r>
      <w:r>
        <w:rPr>
          <w:color w:val="231F20"/>
          <w:spacing w:val="-7"/>
        </w:rPr>
        <w:t> </w:t>
      </w:r>
      <w:r>
        <w:rPr>
          <w:color w:val="231F20"/>
        </w:rPr>
        <w:t>millets</w:t>
      </w:r>
      <w:r>
        <w:rPr>
          <w:color w:val="231F20"/>
          <w:spacing w:val="-7"/>
        </w:rPr>
        <w:t> </w:t>
      </w:r>
      <w:r>
        <w:rPr>
          <w:color w:val="231F20"/>
        </w:rPr>
        <w:t>on</w:t>
      </w:r>
      <w:r>
        <w:rPr>
          <w:color w:val="231F20"/>
          <w:spacing w:val="-6"/>
        </w:rPr>
        <w:t> </w:t>
      </w:r>
      <w:r>
        <w:rPr>
          <w:color w:val="231F20"/>
        </w:rPr>
        <w:t>alfisols</w:t>
      </w:r>
      <w:r>
        <w:rPr>
          <w:color w:val="231F20"/>
          <w:spacing w:val="-7"/>
        </w:rPr>
        <w:t> </w:t>
      </w:r>
      <w:r>
        <w:rPr>
          <w:color w:val="231F20"/>
        </w:rPr>
        <w:t>of</w:t>
      </w:r>
      <w:r>
        <w:rPr>
          <w:color w:val="231F20"/>
          <w:spacing w:val="-6"/>
        </w:rPr>
        <w:t> </w:t>
      </w:r>
      <w:r>
        <w:rPr>
          <w:color w:val="231F20"/>
        </w:rPr>
        <w:t>northern</w:t>
      </w:r>
      <w:r>
        <w:rPr>
          <w:color w:val="231F20"/>
          <w:spacing w:val="-7"/>
        </w:rPr>
        <w:t> </w:t>
      </w:r>
      <w:r>
        <w:rPr>
          <w:color w:val="231F20"/>
        </w:rPr>
        <w:t>transition</w:t>
      </w:r>
      <w:r>
        <w:rPr>
          <w:color w:val="231F20"/>
          <w:spacing w:val="-7"/>
        </w:rPr>
        <w:t> </w:t>
      </w:r>
      <w:r>
        <w:rPr>
          <w:color w:val="231F20"/>
        </w:rPr>
        <w:t>zone of Karnataka. </w:t>
      </w:r>
      <w:r>
        <w:rPr>
          <w:i/>
          <w:color w:val="231F20"/>
        </w:rPr>
        <w:t>M.Sc. (Ag.) </w:t>
      </w:r>
      <w:r>
        <w:rPr>
          <w:color w:val="231F20"/>
        </w:rPr>
        <w:t>Thesis. University of Agricultural Sciences, Dharwad, Karnataka.</w:t>
      </w:r>
    </w:p>
    <w:p>
      <w:pPr>
        <w:pStyle w:val="BodyText"/>
        <w:spacing w:line="249" w:lineRule="auto" w:before="119"/>
        <w:ind w:left="433" w:right="140" w:hanging="432"/>
      </w:pPr>
      <w:r>
        <w:rPr>
          <w:color w:val="231F20"/>
        </w:rPr>
        <w:t>Manjunath, M.G and Salakinkop, S.R. 2017. </w:t>
      </w:r>
      <w:r>
        <w:rPr>
          <w:color w:val="231F20"/>
        </w:rPr>
        <w:t>Growth and yield of soybean and millets in intercropping </w:t>
      </w:r>
      <w:r>
        <w:rPr>
          <w:color w:val="231F20"/>
          <w:spacing w:val="-2"/>
        </w:rPr>
        <w:t>systems.</w:t>
      </w:r>
      <w:r>
        <w:rPr>
          <w:color w:val="231F20"/>
          <w:spacing w:val="-4"/>
        </w:rPr>
        <w:t> </w:t>
      </w:r>
      <w:r>
        <w:rPr>
          <w:i/>
          <w:color w:val="231F20"/>
          <w:spacing w:val="-2"/>
        </w:rPr>
        <w:t>Journal</w:t>
      </w:r>
      <w:r>
        <w:rPr>
          <w:i/>
          <w:color w:val="231F20"/>
          <w:spacing w:val="-4"/>
        </w:rPr>
        <w:t> </w:t>
      </w:r>
      <w:r>
        <w:rPr>
          <w:i/>
          <w:color w:val="231F20"/>
          <w:spacing w:val="-2"/>
        </w:rPr>
        <w:t>of</w:t>
      </w:r>
      <w:r>
        <w:rPr>
          <w:i/>
          <w:color w:val="231F20"/>
          <w:spacing w:val="-3"/>
        </w:rPr>
        <w:t> </w:t>
      </w:r>
      <w:r>
        <w:rPr>
          <w:i/>
          <w:color w:val="231F20"/>
          <w:spacing w:val="-2"/>
        </w:rPr>
        <w:t>Farm</w:t>
      </w:r>
      <w:r>
        <w:rPr>
          <w:i/>
          <w:color w:val="231F20"/>
          <w:spacing w:val="-4"/>
        </w:rPr>
        <w:t> </w:t>
      </w:r>
      <w:r>
        <w:rPr>
          <w:i/>
          <w:color w:val="231F20"/>
          <w:spacing w:val="-2"/>
        </w:rPr>
        <w:t>Sciences</w:t>
      </w:r>
      <w:r>
        <w:rPr>
          <w:color w:val="231F20"/>
          <w:spacing w:val="-2"/>
        </w:rPr>
        <w:t>.</w:t>
      </w:r>
      <w:r>
        <w:rPr>
          <w:color w:val="231F20"/>
          <w:spacing w:val="-3"/>
        </w:rPr>
        <w:t> </w:t>
      </w:r>
      <w:r>
        <w:rPr>
          <w:color w:val="231F20"/>
          <w:spacing w:val="-2"/>
        </w:rPr>
        <w:t>30</w:t>
      </w:r>
      <w:r>
        <w:rPr>
          <w:color w:val="231F20"/>
          <w:spacing w:val="-4"/>
        </w:rPr>
        <w:t> </w:t>
      </w:r>
      <w:r>
        <w:rPr>
          <w:color w:val="231F20"/>
          <w:spacing w:val="-2"/>
        </w:rPr>
        <w:t>(3):</w:t>
      </w:r>
      <w:r>
        <w:rPr>
          <w:color w:val="231F20"/>
          <w:spacing w:val="-3"/>
        </w:rPr>
        <w:t> </w:t>
      </w:r>
      <w:r>
        <w:rPr>
          <w:color w:val="231F20"/>
          <w:spacing w:val="-2"/>
        </w:rPr>
        <w:t>349-</w:t>
      </w:r>
      <w:r>
        <w:rPr>
          <w:color w:val="231F20"/>
          <w:spacing w:val="-4"/>
        </w:rPr>
        <w:t>353.</w:t>
      </w:r>
    </w:p>
    <w:p>
      <w:pPr>
        <w:spacing w:line="249" w:lineRule="auto" w:before="118"/>
        <w:ind w:left="433" w:right="139" w:hanging="432"/>
        <w:jc w:val="both"/>
        <w:rPr>
          <w:sz w:val="22"/>
        </w:rPr>
      </w:pPr>
      <w:r>
        <w:rPr>
          <w:color w:val="231F20"/>
          <w:sz w:val="22"/>
        </w:rPr>
        <w:t>Shwethanjali, K.V., Naik, A.H.K., Naik, T.B and Kumar, M.D. 2018. Effect of groundnut-</w:t>
      </w:r>
      <w:r>
        <w:rPr>
          <w:color w:val="231F20"/>
          <w:sz w:val="22"/>
        </w:rPr>
        <w:t>based millets intercropping system on growth and yield</w:t>
      </w:r>
      <w:r>
        <w:rPr>
          <w:color w:val="231F20"/>
          <w:spacing w:val="40"/>
          <w:sz w:val="22"/>
        </w:rPr>
        <w:t> </w:t>
      </w:r>
      <w:r>
        <w:rPr>
          <w:color w:val="231F20"/>
          <w:sz w:val="22"/>
        </w:rPr>
        <w:t>of groundnut (</w:t>
      </w:r>
      <w:r>
        <w:rPr>
          <w:i/>
          <w:color w:val="231F20"/>
          <w:sz w:val="22"/>
        </w:rPr>
        <w:t>Arachis hypogaea </w:t>
      </w:r>
      <w:r>
        <w:rPr>
          <w:color w:val="231F20"/>
          <w:sz w:val="22"/>
        </w:rPr>
        <w:t>L.) under rainfed condition. </w:t>
      </w:r>
      <w:r>
        <w:rPr>
          <w:i/>
          <w:color w:val="231F20"/>
          <w:sz w:val="22"/>
        </w:rPr>
        <w:t>International Journal of Agricultural Sciences</w:t>
      </w:r>
      <w:r>
        <w:rPr>
          <w:color w:val="231F20"/>
          <w:sz w:val="22"/>
        </w:rPr>
        <w:t>. 10(17): 7033-7034.</w:t>
      </w:r>
    </w:p>
    <w:p>
      <w:pPr>
        <w:spacing w:line="249" w:lineRule="auto" w:before="120"/>
        <w:ind w:left="433" w:right="140" w:hanging="432"/>
        <w:jc w:val="both"/>
        <w:rPr>
          <w:sz w:val="22"/>
        </w:rPr>
      </w:pPr>
      <w:r>
        <w:rPr>
          <w:color w:val="231F20"/>
          <w:sz w:val="22"/>
        </w:rPr>
        <w:t>Lenka, S., Swain, S.K and Pradhan, K.C. </w:t>
      </w:r>
      <w:r>
        <w:rPr>
          <w:color w:val="231F20"/>
          <w:sz w:val="22"/>
        </w:rPr>
        <w:t>2023. Performance of different groundnut (</w:t>
      </w:r>
      <w:r>
        <w:rPr>
          <w:i/>
          <w:color w:val="231F20"/>
          <w:sz w:val="22"/>
        </w:rPr>
        <w:t>Arachis hypogaea </w:t>
      </w:r>
      <w:r>
        <w:rPr>
          <w:color w:val="231F20"/>
          <w:sz w:val="22"/>
        </w:rPr>
        <w:t>L.) based intercropping systems with millets under rainfed condition of Odisha. </w:t>
      </w:r>
      <w:r>
        <w:rPr>
          <w:i/>
          <w:color w:val="231F20"/>
          <w:sz w:val="22"/>
        </w:rPr>
        <w:t>Legume Research-An</w:t>
      </w:r>
      <w:r>
        <w:rPr>
          <w:i/>
          <w:color w:val="231F20"/>
          <w:spacing w:val="-11"/>
          <w:sz w:val="22"/>
        </w:rPr>
        <w:t> </w:t>
      </w:r>
      <w:r>
        <w:rPr>
          <w:i/>
          <w:color w:val="231F20"/>
          <w:sz w:val="22"/>
        </w:rPr>
        <w:t>International</w:t>
      </w:r>
      <w:r>
        <w:rPr>
          <w:i/>
          <w:color w:val="231F20"/>
          <w:spacing w:val="-9"/>
          <w:sz w:val="22"/>
        </w:rPr>
        <w:t> </w:t>
      </w:r>
      <w:r>
        <w:rPr>
          <w:i/>
          <w:color w:val="231F20"/>
          <w:sz w:val="22"/>
        </w:rPr>
        <w:t>Journal</w:t>
      </w:r>
      <w:r>
        <w:rPr>
          <w:color w:val="231F20"/>
          <w:sz w:val="22"/>
        </w:rPr>
        <w:t>.</w:t>
      </w:r>
      <w:r>
        <w:rPr>
          <w:color w:val="231F20"/>
          <w:spacing w:val="-9"/>
          <w:sz w:val="22"/>
        </w:rPr>
        <w:t> </w:t>
      </w:r>
      <w:r>
        <w:rPr>
          <w:color w:val="231F20"/>
          <w:sz w:val="22"/>
        </w:rPr>
        <w:t>46(2):</w:t>
      </w:r>
      <w:r>
        <w:rPr>
          <w:color w:val="231F20"/>
          <w:spacing w:val="-9"/>
          <w:sz w:val="22"/>
        </w:rPr>
        <w:t> </w:t>
      </w:r>
      <w:r>
        <w:rPr>
          <w:color w:val="231F20"/>
          <w:sz w:val="22"/>
        </w:rPr>
        <w:t>154</w:t>
      </w:r>
      <w:r>
        <w:rPr>
          <w:color w:val="231F20"/>
          <w:spacing w:val="-9"/>
          <w:sz w:val="22"/>
        </w:rPr>
        <w:t> </w:t>
      </w:r>
      <w:r>
        <w:rPr>
          <w:color w:val="231F20"/>
          <w:spacing w:val="-4"/>
          <w:sz w:val="22"/>
        </w:rPr>
        <w:t>159.</w:t>
      </w:r>
    </w:p>
    <w:sectPr>
      <w:type w:val="continuous"/>
      <w:pgSz w:w="12480" w:h="15880"/>
      <w:pgMar w:header="0" w:footer="988" w:top="980" w:bottom="1180" w:left="1133" w:right="992"/>
      <w:cols w:num="2" w:equalWidth="0">
        <w:col w:w="4962" w:space="281"/>
        <w:col w:w="5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jc w:val="left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87808">
              <wp:simplePos x="0" y="0"/>
              <wp:positionH relativeFrom="page">
                <wp:posOffset>3851859</wp:posOffset>
              </wp:positionH>
              <wp:positionV relativeFrom="page">
                <wp:posOffset>9313136</wp:posOffset>
              </wp:positionV>
              <wp:extent cx="228600" cy="1803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28600" cy="180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0"/>
                            <w:ind w:left="60"/>
                            <w:jc w:val="left"/>
                          </w:pPr>
                          <w:r>
                            <w:rPr>
                              <w:color w:val="231F20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instrText> PAGE </w:instrTex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t>21</w:t>
                          </w:r>
                          <w:r>
                            <w:rPr>
                              <w:color w:val="231F20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303.29599pt;margin-top:733.31781pt;width:18pt;height:14.2pt;mso-position-horizontal-relative:page;mso-position-vertical-relative:page;z-index:-16028672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0"/>
                      <w:ind w:left="60"/>
                      <w:jc w:val="left"/>
                    </w:pPr>
                    <w:r>
                      <w:rPr>
                        <w:color w:val="231F20"/>
                        <w:spacing w:val="-5"/>
                      </w:rPr>
                      <w:fldChar w:fldCharType="begin"/>
                    </w:r>
                    <w:r>
                      <w:rPr>
                        <w:color w:val="231F20"/>
                        <w:spacing w:val="-5"/>
                      </w:rPr>
                      <w:instrText> PAGE </w:instrText>
                    </w:r>
                    <w:r>
                      <w:rPr>
                        <w:color w:val="231F20"/>
                        <w:spacing w:val="-5"/>
                      </w:rPr>
                      <w:fldChar w:fldCharType="separate"/>
                    </w:r>
                    <w:r>
                      <w:rPr>
                        <w:color w:val="231F20"/>
                        <w:spacing w:val="-5"/>
                      </w:rPr>
                      <w:t>21</w:t>
                    </w:r>
                    <w:r>
                      <w:rPr>
                        <w:color w:val="231F20"/>
                        <w:spacing w:val="-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"/>
      <w:jc w:val="both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"/>
      <w:jc w:val="both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"/>
      <w:outlineLvl w:val="2"/>
    </w:pPr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95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hyperlink" Target="mailto:bolluniharika2580@g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2026-05-09T06:16:37Z</dcterms:created>
  <dcterms:modified xsi:type="dcterms:W3CDTF">2026-05-09T06:16:37Z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2026-05-02T00:00:00Z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2026-05-09T00:00:00Z</vt:filetime>
  </property>
  <property fmtid="{D5CDD505-2E9C-101B-9397-08002B2CF9AE}" pid="5" name="Producer">
    <vt:lpwstr>Adobe PDF Library 10.0.1</vt:lpwstr>
  </property>
</Properties>
</file>