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Default Extension="jpeg" ContentType="image/jpeg"/>
  <Default Extension="png" ContentType="image/png"/>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9"/>
        <w:ind w:left="1" w:right="0" w:firstLine="0"/>
        <w:jc w:val="left"/>
        <w:rPr>
          <w:sz w:val="21"/>
        </w:rPr>
      </w:pPr>
      <w:r>
        <w:rPr>
          <w:sz w:val="21"/>
        </w:rPr>
        <w:drawing>
          <wp:anchor distT="0" distB="0" distL="0" distR="0" allowOverlap="1" layoutInCell="1" locked="0" behindDoc="0" simplePos="0" relativeHeight="15729152">
            <wp:simplePos x="0" y="0"/>
            <wp:positionH relativeFrom="page">
              <wp:posOffset>6611021</wp:posOffset>
            </wp:positionH>
            <wp:positionV relativeFrom="paragraph">
              <wp:posOffset>-1524</wp:posOffset>
            </wp:positionV>
            <wp:extent cx="588050" cy="575879"/>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588050" cy="575879"/>
                    </a:xfrm>
                    <a:prstGeom prst="rect">
                      <a:avLst/>
                    </a:prstGeom>
                  </pic:spPr>
                </pic:pic>
              </a:graphicData>
            </a:graphic>
          </wp:anchor>
        </w:drawing>
      </w:r>
      <w:r>
        <w:rPr>
          <w:i/>
          <w:color w:val="231F20"/>
          <w:sz w:val="21"/>
        </w:rPr>
        <w:t>Andhra Pradesh J</w:t>
      </w:r>
      <w:r>
        <w:rPr>
          <w:i/>
          <w:color w:val="231F20"/>
          <w:spacing w:val="-4"/>
          <w:sz w:val="21"/>
        </w:rPr>
        <w:t> </w:t>
      </w:r>
      <w:r>
        <w:rPr>
          <w:i/>
          <w:color w:val="231F20"/>
          <w:sz w:val="21"/>
        </w:rPr>
        <w:t>Agril. Sci</w:t>
      </w:r>
      <w:r>
        <w:rPr>
          <w:i/>
          <w:color w:val="231F20"/>
          <w:spacing w:val="-1"/>
          <w:sz w:val="21"/>
        </w:rPr>
        <w:t> </w:t>
      </w:r>
      <w:r>
        <w:rPr>
          <w:color w:val="231F20"/>
          <w:sz w:val="21"/>
        </w:rPr>
        <w:t>: 12(1): 15-20, </w:t>
      </w:r>
      <w:r>
        <w:rPr>
          <w:color w:val="231F20"/>
          <w:spacing w:val="-4"/>
          <w:sz w:val="21"/>
        </w:rPr>
        <w:t>2026</w:t>
      </w:r>
    </w:p>
    <w:p>
      <w:pPr>
        <w:pStyle w:val="BodyText"/>
        <w:ind w:left="0"/>
        <w:rPr>
          <w:sz w:val="24"/>
        </w:rPr>
      </w:pPr>
    </w:p>
    <w:p>
      <w:pPr>
        <w:pStyle w:val="BodyText"/>
        <w:spacing w:before="83"/>
        <w:ind w:left="0"/>
        <w:rPr>
          <w:sz w:val="24"/>
        </w:rPr>
      </w:pPr>
    </w:p>
    <w:p>
      <w:pPr>
        <w:pStyle w:val="Heading1"/>
        <w:spacing w:line="270" w:lineRule="exact" w:before="0"/>
        <w:ind w:left="0"/>
        <w:jc w:val="center"/>
      </w:pPr>
      <w:r>
        <w:rPr>
          <w:color w:val="231F20"/>
        </w:rPr>
        <w:t>EVALUATION</w:t>
      </w:r>
      <w:r>
        <w:rPr>
          <w:color w:val="231F20"/>
          <w:spacing w:val="-15"/>
        </w:rPr>
        <w:t> </w:t>
      </w:r>
      <w:r>
        <w:rPr>
          <w:color w:val="231F20"/>
        </w:rPr>
        <w:t>OF</w:t>
      </w:r>
      <w:r>
        <w:rPr>
          <w:color w:val="231F20"/>
          <w:spacing w:val="-15"/>
        </w:rPr>
        <w:t> </w:t>
      </w:r>
      <w:r>
        <w:rPr>
          <w:color w:val="231F20"/>
        </w:rPr>
        <w:t>SESAME</w:t>
      </w:r>
      <w:r>
        <w:rPr>
          <w:color w:val="231F20"/>
          <w:spacing w:val="-15"/>
        </w:rPr>
        <w:t> </w:t>
      </w:r>
      <w:r>
        <w:rPr>
          <w:color w:val="231F20"/>
        </w:rPr>
        <w:t>GENOTYPES</w:t>
      </w:r>
      <w:r>
        <w:rPr>
          <w:color w:val="231F20"/>
          <w:spacing w:val="-15"/>
        </w:rPr>
        <w:t> </w:t>
      </w:r>
      <w:r>
        <w:rPr>
          <w:color w:val="231F20"/>
        </w:rPr>
        <w:t>FOR</w:t>
      </w:r>
      <w:r>
        <w:rPr>
          <w:color w:val="231F20"/>
          <w:spacing w:val="-15"/>
        </w:rPr>
        <w:t> </w:t>
      </w:r>
      <w:r>
        <w:rPr>
          <w:color w:val="231F20"/>
        </w:rPr>
        <w:t>FIELD</w:t>
      </w:r>
      <w:r>
        <w:rPr>
          <w:color w:val="231F20"/>
          <w:spacing w:val="-15"/>
        </w:rPr>
        <w:t> </w:t>
      </w:r>
      <w:r>
        <w:rPr>
          <w:color w:val="231F20"/>
        </w:rPr>
        <w:t>RESISTANCE</w:t>
      </w:r>
      <w:r>
        <w:rPr>
          <w:color w:val="231F20"/>
          <w:spacing w:val="-15"/>
        </w:rPr>
        <w:t> </w:t>
      </w:r>
      <w:r>
        <w:rPr>
          <w:color w:val="231F20"/>
        </w:rPr>
        <w:t>AGAINST</w:t>
      </w:r>
      <w:r>
        <w:rPr>
          <w:color w:val="231F20"/>
          <w:spacing w:val="-14"/>
        </w:rPr>
        <w:t> </w:t>
      </w:r>
      <w:r>
        <w:rPr>
          <w:color w:val="231F20"/>
        </w:rPr>
        <w:t>STEM</w:t>
      </w:r>
      <w:r>
        <w:rPr>
          <w:color w:val="231F20"/>
          <w:spacing w:val="-15"/>
        </w:rPr>
        <w:t> </w:t>
      </w:r>
      <w:r>
        <w:rPr>
          <w:color w:val="231F20"/>
          <w:spacing w:val="-5"/>
        </w:rPr>
        <w:t>AND</w:t>
      </w:r>
    </w:p>
    <w:p>
      <w:pPr>
        <w:spacing w:line="270" w:lineRule="exact" w:before="0"/>
        <w:ind w:left="0" w:right="0" w:firstLine="0"/>
        <w:jc w:val="center"/>
        <w:rPr>
          <w:b/>
          <w:sz w:val="24"/>
        </w:rPr>
      </w:pPr>
      <w:r>
        <w:rPr>
          <w:b/>
          <w:color w:val="231F20"/>
          <w:sz w:val="24"/>
        </w:rPr>
        <w:t>ROOT</w:t>
      </w:r>
      <w:r>
        <w:rPr>
          <w:b/>
          <w:color w:val="231F20"/>
          <w:spacing w:val="-9"/>
          <w:sz w:val="24"/>
        </w:rPr>
        <w:t> </w:t>
      </w:r>
      <w:r>
        <w:rPr>
          <w:b/>
          <w:color w:val="231F20"/>
          <w:sz w:val="24"/>
        </w:rPr>
        <w:t>ROT</w:t>
      </w:r>
      <w:r>
        <w:rPr>
          <w:b/>
          <w:color w:val="231F20"/>
          <w:spacing w:val="-9"/>
          <w:sz w:val="24"/>
        </w:rPr>
        <w:t> </w:t>
      </w:r>
      <w:r>
        <w:rPr>
          <w:b/>
          <w:color w:val="231F20"/>
          <w:sz w:val="24"/>
        </w:rPr>
        <w:t>CAUSED</w:t>
      </w:r>
      <w:r>
        <w:rPr>
          <w:b/>
          <w:color w:val="231F20"/>
          <w:spacing w:val="-6"/>
          <w:sz w:val="24"/>
        </w:rPr>
        <w:t> </w:t>
      </w:r>
      <w:r>
        <w:rPr>
          <w:b/>
          <w:color w:val="231F20"/>
          <w:sz w:val="24"/>
        </w:rPr>
        <w:t>BY</w:t>
      </w:r>
      <w:r>
        <w:rPr>
          <w:b/>
          <w:color w:val="231F20"/>
          <w:spacing w:val="-12"/>
          <w:sz w:val="24"/>
        </w:rPr>
        <w:t> </w:t>
      </w:r>
      <w:r>
        <w:rPr>
          <w:b/>
          <w:i/>
          <w:color w:val="231F20"/>
          <w:sz w:val="24"/>
        </w:rPr>
        <w:t>Macrophomina</w:t>
      </w:r>
      <w:r>
        <w:rPr>
          <w:b/>
          <w:i/>
          <w:color w:val="231F20"/>
          <w:spacing w:val="-5"/>
          <w:sz w:val="24"/>
        </w:rPr>
        <w:t> </w:t>
      </w:r>
      <w:r>
        <w:rPr>
          <w:b/>
          <w:i/>
          <w:color w:val="231F20"/>
          <w:sz w:val="24"/>
        </w:rPr>
        <w:t>phaseolina</w:t>
      </w:r>
      <w:r>
        <w:rPr>
          <w:b/>
          <w:i/>
          <w:color w:val="231F20"/>
          <w:spacing w:val="-4"/>
          <w:sz w:val="24"/>
        </w:rPr>
        <w:t> </w:t>
      </w:r>
      <w:r>
        <w:rPr>
          <w:b/>
          <w:color w:val="231F20"/>
          <w:sz w:val="24"/>
        </w:rPr>
        <w:t>(Tassi)</w:t>
      </w:r>
      <w:r>
        <w:rPr>
          <w:b/>
          <w:color w:val="231F20"/>
          <w:spacing w:val="-4"/>
          <w:sz w:val="24"/>
        </w:rPr>
        <w:t> </w:t>
      </w:r>
      <w:r>
        <w:rPr>
          <w:b/>
          <w:color w:val="231F20"/>
          <w:spacing w:val="-2"/>
          <w:sz w:val="24"/>
        </w:rPr>
        <w:t>Goid.</w:t>
      </w:r>
    </w:p>
    <w:p>
      <w:pPr>
        <w:spacing w:before="184"/>
        <w:ind w:left="1778" w:right="0" w:firstLine="0"/>
        <w:jc w:val="left"/>
        <w:rPr>
          <w:b/>
          <w:sz w:val="22"/>
        </w:rPr>
      </w:pPr>
      <w:r>
        <w:rPr>
          <w:b/>
          <w:color w:val="231F20"/>
          <w:sz w:val="22"/>
        </w:rPr>
        <w:t>B.</w:t>
      </w:r>
      <w:r>
        <w:rPr>
          <w:b/>
          <w:color w:val="231F20"/>
          <w:spacing w:val="-8"/>
          <w:sz w:val="22"/>
        </w:rPr>
        <w:t> </w:t>
      </w:r>
      <w:r>
        <w:rPr>
          <w:b/>
          <w:color w:val="231F20"/>
          <w:sz w:val="22"/>
        </w:rPr>
        <w:t>VISHNU*,</w:t>
      </w:r>
      <w:r>
        <w:rPr>
          <w:b/>
          <w:color w:val="231F20"/>
          <w:spacing w:val="-5"/>
          <w:sz w:val="22"/>
        </w:rPr>
        <w:t> </w:t>
      </w:r>
      <w:r>
        <w:rPr>
          <w:b/>
          <w:color w:val="231F20"/>
          <w:sz w:val="22"/>
        </w:rPr>
        <w:t>K.</w:t>
      </w:r>
      <w:r>
        <w:rPr>
          <w:b/>
          <w:color w:val="231F20"/>
          <w:spacing w:val="-5"/>
          <w:sz w:val="22"/>
        </w:rPr>
        <w:t> </w:t>
      </w:r>
      <w:r>
        <w:rPr>
          <w:b/>
          <w:color w:val="231F20"/>
          <w:sz w:val="22"/>
        </w:rPr>
        <w:t>VISWANATH,</w:t>
      </w:r>
      <w:r>
        <w:rPr>
          <w:b/>
          <w:color w:val="231F20"/>
          <w:spacing w:val="-5"/>
          <w:sz w:val="22"/>
        </w:rPr>
        <w:t> </w:t>
      </w:r>
      <w:r>
        <w:rPr>
          <w:b/>
          <w:color w:val="231F20"/>
          <w:sz w:val="22"/>
        </w:rPr>
        <w:t>P.</w:t>
      </w:r>
      <w:r>
        <w:rPr>
          <w:b/>
          <w:color w:val="231F20"/>
          <w:spacing w:val="-5"/>
          <w:sz w:val="22"/>
        </w:rPr>
        <w:t> </w:t>
      </w:r>
      <w:r>
        <w:rPr>
          <w:b/>
          <w:color w:val="231F20"/>
          <w:sz w:val="22"/>
        </w:rPr>
        <w:t>NAGAMANI</w:t>
      </w:r>
      <w:r>
        <w:rPr>
          <w:b/>
          <w:color w:val="231F20"/>
          <w:spacing w:val="-6"/>
          <w:sz w:val="22"/>
        </w:rPr>
        <w:t> </w:t>
      </w:r>
      <w:r>
        <w:rPr>
          <w:b/>
          <w:color w:val="231F20"/>
          <w:sz w:val="22"/>
        </w:rPr>
        <w:t>AND</w:t>
      </w:r>
      <w:r>
        <w:rPr>
          <w:b/>
          <w:color w:val="231F20"/>
          <w:spacing w:val="-6"/>
          <w:sz w:val="22"/>
        </w:rPr>
        <w:t> </w:t>
      </w:r>
      <w:r>
        <w:rPr>
          <w:b/>
          <w:color w:val="231F20"/>
          <w:sz w:val="22"/>
        </w:rPr>
        <w:t>D.</w:t>
      </w:r>
      <w:r>
        <w:rPr>
          <w:b/>
          <w:color w:val="231F20"/>
          <w:spacing w:val="-5"/>
          <w:sz w:val="22"/>
        </w:rPr>
        <w:t> </w:t>
      </w:r>
      <w:r>
        <w:rPr>
          <w:b/>
          <w:color w:val="231F20"/>
          <w:spacing w:val="-2"/>
          <w:sz w:val="22"/>
        </w:rPr>
        <w:t>BHARATHI</w:t>
      </w:r>
    </w:p>
    <w:p>
      <w:pPr>
        <w:spacing w:before="208"/>
        <w:ind w:left="0" w:right="0" w:firstLine="0"/>
        <w:jc w:val="center"/>
        <w:rPr>
          <w:sz w:val="20"/>
        </w:rPr>
      </w:pPr>
      <w:r>
        <w:rPr>
          <w:color w:val="231F20"/>
          <w:sz w:val="20"/>
        </w:rPr>
        <w:t>Department</w:t>
      </w:r>
      <w:r>
        <w:rPr>
          <w:color w:val="231F20"/>
          <w:spacing w:val="-3"/>
          <w:sz w:val="20"/>
        </w:rPr>
        <w:t> </w:t>
      </w:r>
      <w:r>
        <w:rPr>
          <w:color w:val="231F20"/>
          <w:sz w:val="20"/>
        </w:rPr>
        <w:t>of</w:t>
      </w:r>
      <w:r>
        <w:rPr>
          <w:color w:val="231F20"/>
          <w:spacing w:val="-3"/>
          <w:sz w:val="20"/>
        </w:rPr>
        <w:t> </w:t>
      </w:r>
      <w:r>
        <w:rPr>
          <w:color w:val="231F20"/>
          <w:sz w:val="20"/>
        </w:rPr>
        <w:t>Plant</w:t>
      </w:r>
      <w:r>
        <w:rPr>
          <w:color w:val="231F20"/>
          <w:spacing w:val="-2"/>
          <w:sz w:val="20"/>
        </w:rPr>
        <w:t> </w:t>
      </w:r>
      <w:r>
        <w:rPr>
          <w:color w:val="231F20"/>
          <w:sz w:val="20"/>
        </w:rPr>
        <w:t>Pathology,</w:t>
      </w:r>
      <w:r>
        <w:rPr>
          <w:color w:val="231F20"/>
          <w:spacing w:val="-3"/>
          <w:sz w:val="20"/>
        </w:rPr>
        <w:t> </w:t>
      </w:r>
      <w:r>
        <w:rPr>
          <w:color w:val="231F20"/>
          <w:sz w:val="20"/>
        </w:rPr>
        <w:t>ANGRAU-S.V.</w:t>
      </w:r>
      <w:r>
        <w:rPr>
          <w:color w:val="231F20"/>
          <w:spacing w:val="-2"/>
          <w:sz w:val="20"/>
        </w:rPr>
        <w:t> </w:t>
      </w:r>
      <w:r>
        <w:rPr>
          <w:color w:val="231F20"/>
          <w:sz w:val="20"/>
        </w:rPr>
        <w:t>Agricultural</w:t>
      </w:r>
      <w:r>
        <w:rPr>
          <w:color w:val="231F20"/>
          <w:spacing w:val="-3"/>
          <w:sz w:val="20"/>
        </w:rPr>
        <w:t> </w:t>
      </w:r>
      <w:r>
        <w:rPr>
          <w:color w:val="231F20"/>
          <w:sz w:val="20"/>
        </w:rPr>
        <w:t>College,Tirupati-517</w:t>
      </w:r>
      <w:r>
        <w:rPr>
          <w:color w:val="231F20"/>
          <w:spacing w:val="-2"/>
          <w:sz w:val="20"/>
        </w:rPr>
        <w:t> </w:t>
      </w:r>
      <w:r>
        <w:rPr>
          <w:color w:val="231F20"/>
          <w:spacing w:val="-4"/>
          <w:sz w:val="20"/>
        </w:rPr>
        <w:t>502.</w:t>
      </w:r>
    </w:p>
    <w:p>
      <w:pPr>
        <w:tabs>
          <w:tab w:pos="4468" w:val="left" w:leader="none"/>
          <w:tab w:pos="7586" w:val="left" w:leader="none"/>
        </w:tabs>
        <w:spacing w:before="221"/>
        <w:ind w:left="433" w:right="0" w:hanging="432"/>
        <w:jc w:val="left"/>
        <w:rPr>
          <w:sz w:val="20"/>
        </w:rPr>
      </w:pPr>
      <w:r>
        <w:rPr>
          <w:color w:val="231F20"/>
          <w:sz w:val="20"/>
        </w:rPr>
        <w:t>Date of Receipt: 07-07-</w:t>
      </w:r>
      <w:r>
        <w:rPr>
          <w:color w:val="231F20"/>
          <w:spacing w:val="-4"/>
          <w:sz w:val="20"/>
        </w:rPr>
        <w:t>2025</w:t>
      </w:r>
      <w:r>
        <w:rPr>
          <w:color w:val="231F20"/>
          <w:sz w:val="20"/>
        </w:rPr>
        <w:tab/>
      </w:r>
      <w:r>
        <w:rPr>
          <w:b/>
          <w:color w:val="231F20"/>
          <w:spacing w:val="-2"/>
          <w:sz w:val="24"/>
        </w:rPr>
        <w:t>ABSTRACT</w:t>
      </w:r>
      <w:r>
        <w:rPr>
          <w:b/>
          <w:color w:val="231F20"/>
          <w:sz w:val="24"/>
        </w:rPr>
        <w:tab/>
      </w:r>
      <w:r>
        <w:rPr>
          <w:color w:val="231F20"/>
          <w:sz w:val="20"/>
        </w:rPr>
        <w:t>Date of Acceptance: 12-01-</w:t>
      </w:r>
      <w:r>
        <w:rPr>
          <w:color w:val="231F20"/>
          <w:spacing w:val="-4"/>
          <w:sz w:val="20"/>
        </w:rPr>
        <w:t>2026</w:t>
      </w:r>
    </w:p>
    <w:p>
      <w:pPr>
        <w:spacing w:line="230" w:lineRule="auto" w:before="189"/>
        <w:ind w:left="1" w:right="1" w:firstLine="432"/>
        <w:jc w:val="both"/>
        <w:rPr>
          <w:sz w:val="20"/>
        </w:rPr>
      </w:pPr>
      <w:r>
        <w:rPr>
          <w:color w:val="231F20"/>
          <w:sz w:val="20"/>
        </w:rPr>
        <w:t>Stem</w:t>
      </w:r>
      <w:r>
        <w:rPr>
          <w:color w:val="231F20"/>
          <w:spacing w:val="13"/>
          <w:sz w:val="20"/>
        </w:rPr>
        <w:t> </w:t>
      </w:r>
      <w:r>
        <w:rPr>
          <w:color w:val="231F20"/>
          <w:sz w:val="20"/>
        </w:rPr>
        <w:t>and</w:t>
      </w:r>
      <w:r>
        <w:rPr>
          <w:color w:val="231F20"/>
          <w:spacing w:val="14"/>
          <w:sz w:val="20"/>
        </w:rPr>
        <w:t> </w:t>
      </w:r>
      <w:r>
        <w:rPr>
          <w:color w:val="231F20"/>
          <w:sz w:val="20"/>
        </w:rPr>
        <w:t>root</w:t>
      </w:r>
      <w:r>
        <w:rPr>
          <w:color w:val="231F20"/>
          <w:spacing w:val="13"/>
          <w:sz w:val="20"/>
        </w:rPr>
        <w:t> </w:t>
      </w:r>
      <w:r>
        <w:rPr>
          <w:color w:val="231F20"/>
          <w:sz w:val="20"/>
        </w:rPr>
        <w:t>rot</w:t>
      </w:r>
      <w:r>
        <w:rPr>
          <w:color w:val="231F20"/>
          <w:spacing w:val="13"/>
          <w:sz w:val="20"/>
        </w:rPr>
        <w:t> </w:t>
      </w:r>
      <w:r>
        <w:rPr>
          <w:color w:val="231F20"/>
          <w:sz w:val="20"/>
        </w:rPr>
        <w:t>caused</w:t>
      </w:r>
      <w:r>
        <w:rPr>
          <w:color w:val="231F20"/>
          <w:spacing w:val="14"/>
          <w:sz w:val="20"/>
        </w:rPr>
        <w:t> </w:t>
      </w:r>
      <w:r>
        <w:rPr>
          <w:color w:val="231F20"/>
          <w:sz w:val="20"/>
        </w:rPr>
        <w:t>by</w:t>
      </w:r>
      <w:r>
        <w:rPr>
          <w:color w:val="231F20"/>
          <w:spacing w:val="13"/>
          <w:sz w:val="20"/>
        </w:rPr>
        <w:t> </w:t>
      </w:r>
      <w:r>
        <w:rPr>
          <w:i/>
          <w:color w:val="231F20"/>
          <w:sz w:val="20"/>
        </w:rPr>
        <w:t>Macrophomina</w:t>
      </w:r>
      <w:r>
        <w:rPr>
          <w:i/>
          <w:color w:val="231F20"/>
          <w:spacing w:val="14"/>
          <w:sz w:val="20"/>
        </w:rPr>
        <w:t> </w:t>
      </w:r>
      <w:r>
        <w:rPr>
          <w:i/>
          <w:color w:val="231F20"/>
          <w:sz w:val="20"/>
        </w:rPr>
        <w:t>phaseolina</w:t>
      </w:r>
      <w:r>
        <w:rPr>
          <w:i/>
          <w:color w:val="231F20"/>
          <w:spacing w:val="13"/>
          <w:sz w:val="20"/>
        </w:rPr>
        <w:t> </w:t>
      </w:r>
      <w:r>
        <w:rPr>
          <w:color w:val="231F20"/>
          <w:sz w:val="20"/>
        </w:rPr>
        <w:t>is</w:t>
      </w:r>
      <w:r>
        <w:rPr>
          <w:color w:val="231F20"/>
          <w:spacing w:val="13"/>
          <w:sz w:val="20"/>
        </w:rPr>
        <w:t> </w:t>
      </w:r>
      <w:r>
        <w:rPr>
          <w:color w:val="231F20"/>
          <w:sz w:val="20"/>
        </w:rPr>
        <w:t>a</w:t>
      </w:r>
      <w:r>
        <w:rPr>
          <w:color w:val="231F20"/>
          <w:spacing w:val="13"/>
          <w:sz w:val="20"/>
        </w:rPr>
        <w:t> </w:t>
      </w:r>
      <w:r>
        <w:rPr>
          <w:color w:val="231F20"/>
          <w:sz w:val="20"/>
        </w:rPr>
        <w:t>devastating</w:t>
      </w:r>
      <w:r>
        <w:rPr>
          <w:color w:val="231F20"/>
          <w:spacing w:val="14"/>
          <w:sz w:val="20"/>
        </w:rPr>
        <w:t> </w:t>
      </w:r>
      <w:r>
        <w:rPr>
          <w:color w:val="231F20"/>
          <w:sz w:val="20"/>
        </w:rPr>
        <w:t>disease</w:t>
      </w:r>
      <w:r>
        <w:rPr>
          <w:color w:val="231F20"/>
          <w:spacing w:val="13"/>
          <w:sz w:val="20"/>
        </w:rPr>
        <w:t> </w:t>
      </w:r>
      <w:r>
        <w:rPr>
          <w:color w:val="231F20"/>
          <w:sz w:val="20"/>
        </w:rPr>
        <w:t>in</w:t>
      </w:r>
      <w:r>
        <w:rPr>
          <w:color w:val="231F20"/>
          <w:spacing w:val="14"/>
          <w:sz w:val="20"/>
        </w:rPr>
        <w:t> </w:t>
      </w:r>
      <w:r>
        <w:rPr>
          <w:color w:val="231F20"/>
          <w:sz w:val="20"/>
        </w:rPr>
        <w:t>sesame.</w:t>
      </w:r>
      <w:r>
        <w:rPr>
          <w:color w:val="231F20"/>
          <w:spacing w:val="14"/>
          <w:sz w:val="20"/>
        </w:rPr>
        <w:t> </w:t>
      </w:r>
      <w:r>
        <w:rPr>
          <w:color w:val="231F20"/>
          <w:sz w:val="20"/>
        </w:rPr>
        <w:t>Use</w:t>
      </w:r>
      <w:r>
        <w:rPr>
          <w:color w:val="231F20"/>
          <w:spacing w:val="13"/>
          <w:sz w:val="20"/>
        </w:rPr>
        <w:t> </w:t>
      </w:r>
      <w:r>
        <w:rPr>
          <w:color w:val="231F20"/>
          <w:sz w:val="20"/>
        </w:rPr>
        <w:t>of</w:t>
      </w:r>
      <w:r>
        <w:rPr>
          <w:color w:val="231F20"/>
          <w:spacing w:val="14"/>
          <w:sz w:val="20"/>
        </w:rPr>
        <w:t> </w:t>
      </w:r>
      <w:r>
        <w:rPr>
          <w:color w:val="231F20"/>
          <w:sz w:val="20"/>
        </w:rPr>
        <w:t>host</w:t>
      </w:r>
      <w:r>
        <w:rPr>
          <w:color w:val="231F20"/>
          <w:spacing w:val="13"/>
          <w:sz w:val="20"/>
        </w:rPr>
        <w:t> </w:t>
      </w:r>
      <w:r>
        <w:rPr>
          <w:color w:val="231F20"/>
          <w:sz w:val="20"/>
        </w:rPr>
        <w:t>plant</w:t>
      </w:r>
      <w:r>
        <w:rPr>
          <w:color w:val="231F20"/>
          <w:spacing w:val="13"/>
          <w:sz w:val="20"/>
        </w:rPr>
        <w:t> </w:t>
      </w:r>
      <w:r>
        <w:rPr>
          <w:color w:val="231F20"/>
          <w:sz w:val="20"/>
        </w:rPr>
        <w:t>resistance is the cheapest and effective disease management strategy. In the present study, 58 sesame genotypes were evaluated for their resistance against stem and root rot disease in 2025 in a sick field under artificial conditions. The results showed that there was significant difference in Percent Disease incidence (PDI %) of the genotypes tested. The mean disease incidence of genotypes ranged</w:t>
      </w:r>
      <w:r>
        <w:rPr>
          <w:color w:val="231F20"/>
          <w:spacing w:val="-5"/>
          <w:sz w:val="20"/>
        </w:rPr>
        <w:t> </w:t>
      </w:r>
      <w:r>
        <w:rPr>
          <w:color w:val="231F20"/>
          <w:sz w:val="20"/>
        </w:rPr>
        <w:t>from</w:t>
      </w:r>
      <w:r>
        <w:rPr>
          <w:color w:val="231F20"/>
          <w:spacing w:val="-5"/>
          <w:sz w:val="20"/>
        </w:rPr>
        <w:t> </w:t>
      </w:r>
      <w:r>
        <w:rPr>
          <w:color w:val="231F20"/>
          <w:sz w:val="20"/>
        </w:rPr>
        <w:t>5.7</w:t>
      </w:r>
      <w:r>
        <w:rPr>
          <w:color w:val="231F20"/>
          <w:spacing w:val="-5"/>
          <w:sz w:val="20"/>
        </w:rPr>
        <w:t> </w:t>
      </w:r>
      <w:r>
        <w:rPr>
          <w:color w:val="231F20"/>
          <w:sz w:val="20"/>
        </w:rPr>
        <w:t>to</w:t>
      </w:r>
      <w:r>
        <w:rPr>
          <w:color w:val="231F20"/>
          <w:spacing w:val="-5"/>
          <w:sz w:val="20"/>
        </w:rPr>
        <w:t> </w:t>
      </w:r>
      <w:r>
        <w:rPr>
          <w:color w:val="231F20"/>
          <w:sz w:val="20"/>
        </w:rPr>
        <w:t>59.8</w:t>
      </w:r>
      <w:r>
        <w:rPr>
          <w:color w:val="231F20"/>
          <w:spacing w:val="-5"/>
          <w:sz w:val="20"/>
        </w:rPr>
        <w:t> </w:t>
      </w:r>
      <w:r>
        <w:rPr>
          <w:color w:val="231F20"/>
          <w:sz w:val="20"/>
        </w:rPr>
        <w:t>%.</w:t>
      </w:r>
      <w:r>
        <w:rPr>
          <w:color w:val="231F20"/>
          <w:spacing w:val="-5"/>
          <w:sz w:val="20"/>
        </w:rPr>
        <w:t> </w:t>
      </w:r>
      <w:r>
        <w:rPr>
          <w:color w:val="231F20"/>
          <w:sz w:val="20"/>
        </w:rPr>
        <w:t>Eight</w:t>
      </w:r>
      <w:r>
        <w:rPr>
          <w:color w:val="231F20"/>
          <w:spacing w:val="-5"/>
          <w:sz w:val="20"/>
        </w:rPr>
        <w:t> </w:t>
      </w:r>
      <w:r>
        <w:rPr>
          <w:color w:val="231F20"/>
          <w:sz w:val="20"/>
        </w:rPr>
        <w:t>genotypes</w:t>
      </w:r>
      <w:r>
        <w:rPr>
          <w:color w:val="231F20"/>
          <w:spacing w:val="-5"/>
          <w:sz w:val="20"/>
        </w:rPr>
        <w:t> </w:t>
      </w:r>
      <w:r>
        <w:rPr>
          <w:color w:val="231F20"/>
          <w:sz w:val="20"/>
        </w:rPr>
        <w:t>VSP-16</w:t>
      </w:r>
      <w:r>
        <w:rPr>
          <w:color w:val="231F20"/>
          <w:spacing w:val="-5"/>
          <w:sz w:val="20"/>
        </w:rPr>
        <w:t> </w:t>
      </w:r>
      <w:r>
        <w:rPr>
          <w:color w:val="231F20"/>
          <w:sz w:val="20"/>
        </w:rPr>
        <w:t>(5.7</w:t>
      </w:r>
      <w:r>
        <w:rPr>
          <w:color w:val="231F20"/>
          <w:spacing w:val="-5"/>
          <w:sz w:val="20"/>
        </w:rPr>
        <w:t> </w:t>
      </w:r>
      <w:r>
        <w:rPr>
          <w:color w:val="231F20"/>
          <w:sz w:val="20"/>
        </w:rPr>
        <w:t>%),</w:t>
      </w:r>
      <w:r>
        <w:rPr>
          <w:color w:val="231F20"/>
          <w:spacing w:val="-5"/>
          <w:sz w:val="20"/>
        </w:rPr>
        <w:t> </w:t>
      </w:r>
      <w:r>
        <w:rPr>
          <w:color w:val="231F20"/>
          <w:sz w:val="20"/>
        </w:rPr>
        <w:t>TPTS-40</w:t>
      </w:r>
      <w:r>
        <w:rPr>
          <w:color w:val="231F20"/>
          <w:spacing w:val="-5"/>
          <w:sz w:val="20"/>
        </w:rPr>
        <w:t> </w:t>
      </w:r>
      <w:r>
        <w:rPr>
          <w:color w:val="231F20"/>
          <w:sz w:val="20"/>
        </w:rPr>
        <w:t>(6.6</w:t>
      </w:r>
      <w:r>
        <w:rPr>
          <w:color w:val="231F20"/>
          <w:spacing w:val="-5"/>
          <w:sz w:val="20"/>
        </w:rPr>
        <w:t> </w:t>
      </w:r>
      <w:r>
        <w:rPr>
          <w:color w:val="231F20"/>
          <w:sz w:val="20"/>
        </w:rPr>
        <w:t>%),</w:t>
      </w:r>
      <w:r>
        <w:rPr>
          <w:color w:val="231F20"/>
          <w:spacing w:val="-5"/>
          <w:sz w:val="20"/>
        </w:rPr>
        <w:t> </w:t>
      </w:r>
      <w:r>
        <w:rPr>
          <w:color w:val="231F20"/>
          <w:sz w:val="20"/>
        </w:rPr>
        <w:t>YLM-161</w:t>
      </w:r>
      <w:r>
        <w:rPr>
          <w:color w:val="231F20"/>
          <w:spacing w:val="-5"/>
          <w:sz w:val="20"/>
        </w:rPr>
        <w:t> </w:t>
      </w:r>
      <w:r>
        <w:rPr>
          <w:color w:val="231F20"/>
          <w:sz w:val="20"/>
        </w:rPr>
        <w:t>(8.6</w:t>
      </w:r>
      <w:r>
        <w:rPr>
          <w:color w:val="231F20"/>
          <w:spacing w:val="-5"/>
          <w:sz w:val="20"/>
        </w:rPr>
        <w:t> </w:t>
      </w:r>
      <w:r>
        <w:rPr>
          <w:color w:val="231F20"/>
          <w:sz w:val="20"/>
        </w:rPr>
        <w:t>%),</w:t>
      </w:r>
      <w:r>
        <w:rPr>
          <w:color w:val="231F20"/>
          <w:spacing w:val="-5"/>
          <w:sz w:val="20"/>
        </w:rPr>
        <w:t> </w:t>
      </w:r>
      <w:r>
        <w:rPr>
          <w:color w:val="231F20"/>
          <w:sz w:val="20"/>
        </w:rPr>
        <w:t>Nirmala</w:t>
      </w:r>
      <w:r>
        <w:rPr>
          <w:color w:val="231F20"/>
          <w:spacing w:val="-5"/>
          <w:sz w:val="20"/>
        </w:rPr>
        <w:t> </w:t>
      </w:r>
      <w:r>
        <w:rPr>
          <w:color w:val="231F20"/>
          <w:sz w:val="20"/>
        </w:rPr>
        <w:t>(8.9</w:t>
      </w:r>
      <w:r>
        <w:rPr>
          <w:color w:val="231F20"/>
          <w:spacing w:val="-5"/>
          <w:sz w:val="20"/>
        </w:rPr>
        <w:t> </w:t>
      </w:r>
      <w:r>
        <w:rPr>
          <w:color w:val="231F20"/>
          <w:sz w:val="20"/>
        </w:rPr>
        <w:t>%)</w:t>
      </w:r>
      <w:r>
        <w:rPr>
          <w:color w:val="231F20"/>
          <w:spacing w:val="-5"/>
          <w:sz w:val="20"/>
        </w:rPr>
        <w:t> </w:t>
      </w:r>
      <w:r>
        <w:rPr>
          <w:color w:val="231F20"/>
          <w:sz w:val="20"/>
        </w:rPr>
        <w:t>and</w:t>
      </w:r>
      <w:r>
        <w:rPr>
          <w:color w:val="231F20"/>
          <w:spacing w:val="-5"/>
          <w:sz w:val="20"/>
        </w:rPr>
        <w:t> </w:t>
      </w:r>
      <w:r>
        <w:rPr>
          <w:color w:val="231F20"/>
          <w:sz w:val="20"/>
        </w:rPr>
        <w:t>VS-16- 009 (9.5 %), Madhavi (9.6 %), GT-10 (9.6) and VS-20-008 (10 %) were found to be resistant (R). These genotypes might be helpful in improving the breeding program of sesame crop. These sesame genotypes can be used for improvement of genetic resistance in already developed lines/varieties or development of new resistant varieties and cultivars through hybridization </w:t>
      </w:r>
      <w:r>
        <w:rPr>
          <w:color w:val="231F20"/>
          <w:spacing w:val="-2"/>
          <w:sz w:val="20"/>
        </w:rPr>
        <w:t>program.</w:t>
      </w:r>
    </w:p>
    <w:p>
      <w:pPr>
        <w:pStyle w:val="BodyText"/>
        <w:spacing w:before="211"/>
        <w:ind w:left="5"/>
      </w:pPr>
      <w:r>
        <w:rPr>
          <w:b/>
          <w:color w:val="231F20"/>
          <w:sz w:val="20"/>
        </w:rPr>
        <w:t>KEYWORDS:</w:t>
      </w:r>
      <w:r>
        <w:rPr>
          <w:b/>
          <w:color w:val="231F20"/>
          <w:spacing w:val="72"/>
          <w:w w:val="150"/>
          <w:sz w:val="20"/>
        </w:rPr>
        <w:t> </w:t>
      </w:r>
      <w:r>
        <w:rPr>
          <w:color w:val="231F20"/>
        </w:rPr>
        <w:t>Genotypes,</w:t>
      </w:r>
      <w:r>
        <w:rPr>
          <w:color w:val="231F20"/>
          <w:spacing w:val="9"/>
        </w:rPr>
        <w:t> </w:t>
      </w:r>
      <w:r>
        <w:rPr>
          <w:color w:val="231F20"/>
        </w:rPr>
        <w:t>percent</w:t>
      </w:r>
      <w:r>
        <w:rPr>
          <w:color w:val="231F20"/>
          <w:spacing w:val="9"/>
        </w:rPr>
        <w:t> </w:t>
      </w:r>
      <w:r>
        <w:rPr>
          <w:color w:val="231F20"/>
        </w:rPr>
        <w:t>disease</w:t>
      </w:r>
      <w:r>
        <w:rPr>
          <w:color w:val="231F20"/>
          <w:spacing w:val="9"/>
        </w:rPr>
        <w:t> </w:t>
      </w:r>
      <w:r>
        <w:rPr>
          <w:color w:val="231F20"/>
        </w:rPr>
        <w:t>incidence,</w:t>
      </w:r>
      <w:r>
        <w:rPr>
          <w:color w:val="231F20"/>
          <w:spacing w:val="10"/>
        </w:rPr>
        <w:t> </w:t>
      </w:r>
      <w:r>
        <w:rPr>
          <w:color w:val="231F20"/>
          <w:spacing w:val="-2"/>
        </w:rPr>
        <w:t>resistance.</w:t>
      </w:r>
    </w:p>
    <w:p>
      <w:pPr>
        <w:pStyle w:val="BodyText"/>
        <w:spacing w:before="6"/>
        <w:ind w:left="0"/>
        <w:rPr>
          <w:sz w:val="9"/>
        </w:rPr>
      </w:pPr>
    </w:p>
    <w:p>
      <w:pPr>
        <w:pStyle w:val="BodyText"/>
        <w:spacing w:after="0"/>
        <w:rPr>
          <w:sz w:val="9"/>
        </w:rPr>
        <w:sectPr>
          <w:footerReference w:type="default" r:id="rId5"/>
          <w:footerReference w:type="even" r:id="rId6"/>
          <w:type w:val="continuous"/>
          <w:pgSz w:w="12480" w:h="15880"/>
          <w:pgMar w:header="0" w:footer="988" w:top="980" w:bottom="1180" w:left="1133" w:right="1133"/>
          <w:pgNumType w:start="15"/>
        </w:sectPr>
      </w:pPr>
    </w:p>
    <w:p>
      <w:pPr>
        <w:pStyle w:val="Heading1"/>
        <w:spacing w:before="90"/>
        <w:jc w:val="left"/>
      </w:pPr>
      <w:r>
        <w:rPr>
          <w:color w:val="231F20"/>
          <w:spacing w:val="-2"/>
        </w:rPr>
        <w:t>INTRODUCTION</w:t>
      </w:r>
    </w:p>
    <w:p>
      <w:pPr>
        <w:pStyle w:val="BodyText"/>
        <w:spacing w:line="249" w:lineRule="auto" w:before="122"/>
        <w:ind w:firstLine="432"/>
        <w:jc w:val="both"/>
      </w:pPr>
      <w:r>
        <w:rPr>
          <w:color w:val="231F20"/>
        </w:rPr>
        <w:t>The</w:t>
      </w:r>
      <w:r>
        <w:rPr>
          <w:color w:val="231F20"/>
          <w:spacing w:val="-3"/>
        </w:rPr>
        <w:t> </w:t>
      </w:r>
      <w:r>
        <w:rPr>
          <w:color w:val="231F20"/>
        </w:rPr>
        <w:t>queen</w:t>
      </w:r>
      <w:r>
        <w:rPr>
          <w:color w:val="231F20"/>
          <w:spacing w:val="-3"/>
        </w:rPr>
        <w:t> </w:t>
      </w:r>
      <w:r>
        <w:rPr>
          <w:color w:val="231F20"/>
        </w:rPr>
        <w:t>of</w:t>
      </w:r>
      <w:r>
        <w:rPr>
          <w:color w:val="231F20"/>
          <w:spacing w:val="-3"/>
        </w:rPr>
        <w:t> </w:t>
      </w:r>
      <w:r>
        <w:rPr>
          <w:color w:val="231F20"/>
        </w:rPr>
        <w:t>oil</w:t>
      </w:r>
      <w:r>
        <w:rPr>
          <w:color w:val="231F20"/>
          <w:spacing w:val="-3"/>
        </w:rPr>
        <w:t> </w:t>
      </w:r>
      <w:r>
        <w:rPr>
          <w:color w:val="231F20"/>
        </w:rPr>
        <w:t>seed,</w:t>
      </w:r>
      <w:r>
        <w:rPr>
          <w:color w:val="231F20"/>
          <w:spacing w:val="-3"/>
        </w:rPr>
        <w:t> </w:t>
      </w:r>
      <w:r>
        <w:rPr>
          <w:color w:val="231F20"/>
        </w:rPr>
        <w:t>sesame</w:t>
      </w:r>
      <w:r>
        <w:rPr>
          <w:color w:val="231F20"/>
          <w:spacing w:val="-3"/>
        </w:rPr>
        <w:t> </w:t>
      </w:r>
      <w:r>
        <w:rPr>
          <w:color w:val="231F20"/>
        </w:rPr>
        <w:t>is</w:t>
      </w:r>
      <w:r>
        <w:rPr>
          <w:color w:val="231F20"/>
          <w:spacing w:val="-3"/>
        </w:rPr>
        <w:t> </w:t>
      </w:r>
      <w:r>
        <w:rPr>
          <w:color w:val="231F20"/>
        </w:rPr>
        <w:t>known</w:t>
      </w:r>
      <w:r>
        <w:rPr>
          <w:color w:val="231F20"/>
          <w:spacing w:val="-3"/>
        </w:rPr>
        <w:t> </w:t>
      </w:r>
      <w:r>
        <w:rPr>
          <w:color w:val="231F20"/>
        </w:rPr>
        <w:t>for</w:t>
      </w:r>
      <w:r>
        <w:rPr>
          <w:color w:val="231F20"/>
          <w:spacing w:val="-3"/>
        </w:rPr>
        <w:t> </w:t>
      </w:r>
      <w:r>
        <w:rPr>
          <w:color w:val="231F20"/>
        </w:rPr>
        <w:t>its</w:t>
      </w:r>
      <w:r>
        <w:rPr>
          <w:color w:val="231F20"/>
          <w:spacing w:val="-3"/>
        </w:rPr>
        <w:t> </w:t>
      </w:r>
      <w:r>
        <w:rPr>
          <w:color w:val="231F20"/>
        </w:rPr>
        <w:t>high nutritional and therapeutic value (Biswas </w:t>
      </w:r>
      <w:r>
        <w:rPr>
          <w:i/>
          <w:color w:val="231F20"/>
        </w:rPr>
        <w:t>et al., </w:t>
      </w:r>
      <w:r>
        <w:rPr>
          <w:color w:val="231F20"/>
        </w:rPr>
        <w:t>2018).</w:t>
      </w:r>
      <w:r>
        <w:rPr>
          <w:color w:val="231F20"/>
          <w:spacing w:val="40"/>
        </w:rPr>
        <w:t> </w:t>
      </w:r>
      <w:r>
        <w:rPr>
          <w:color w:val="231F20"/>
        </w:rPr>
        <w:t>It</w:t>
      </w:r>
      <w:r>
        <w:rPr>
          <w:color w:val="231F20"/>
          <w:spacing w:val="-4"/>
        </w:rPr>
        <w:t> </w:t>
      </w:r>
      <w:r>
        <w:rPr>
          <w:color w:val="231F20"/>
        </w:rPr>
        <w:t>have</w:t>
      </w:r>
      <w:r>
        <w:rPr>
          <w:color w:val="231F20"/>
          <w:spacing w:val="-4"/>
        </w:rPr>
        <w:t> </w:t>
      </w:r>
      <w:r>
        <w:rPr>
          <w:color w:val="231F20"/>
        </w:rPr>
        <w:t>been</w:t>
      </w:r>
      <w:r>
        <w:rPr>
          <w:color w:val="231F20"/>
          <w:spacing w:val="-4"/>
        </w:rPr>
        <w:t> </w:t>
      </w:r>
      <w:r>
        <w:rPr>
          <w:color w:val="231F20"/>
        </w:rPr>
        <w:t>consumed</w:t>
      </w:r>
      <w:r>
        <w:rPr>
          <w:color w:val="231F20"/>
          <w:spacing w:val="-4"/>
        </w:rPr>
        <w:t> </w:t>
      </w:r>
      <w:r>
        <w:rPr>
          <w:color w:val="231F20"/>
        </w:rPr>
        <w:t>as</w:t>
      </w:r>
      <w:r>
        <w:rPr>
          <w:color w:val="231F20"/>
          <w:spacing w:val="-4"/>
        </w:rPr>
        <w:t> </w:t>
      </w:r>
      <w:r>
        <w:rPr>
          <w:color w:val="231F20"/>
        </w:rPr>
        <w:t>traditional</w:t>
      </w:r>
      <w:r>
        <w:rPr>
          <w:color w:val="231F20"/>
          <w:spacing w:val="-4"/>
        </w:rPr>
        <w:t> </w:t>
      </w:r>
      <w:r>
        <w:rPr>
          <w:color w:val="231F20"/>
        </w:rPr>
        <w:t>healthy</w:t>
      </w:r>
      <w:r>
        <w:rPr>
          <w:color w:val="231F20"/>
          <w:spacing w:val="-4"/>
        </w:rPr>
        <w:t> </w:t>
      </w:r>
      <w:r>
        <w:rPr>
          <w:color w:val="231F20"/>
        </w:rPr>
        <w:t>food</w:t>
      </w:r>
      <w:r>
        <w:rPr>
          <w:color w:val="231F20"/>
          <w:spacing w:val="-4"/>
        </w:rPr>
        <w:t> </w:t>
      </w:r>
      <w:r>
        <w:rPr>
          <w:color w:val="231F20"/>
        </w:rPr>
        <w:t>for</w:t>
      </w:r>
      <w:r>
        <w:rPr>
          <w:color w:val="231F20"/>
          <w:spacing w:val="-4"/>
        </w:rPr>
        <w:t> </w:t>
      </w:r>
      <w:r>
        <w:rPr>
          <w:color w:val="231F20"/>
        </w:rPr>
        <w:t>its anti-inflammatory and antioxidative properties (Yadav </w:t>
      </w:r>
      <w:r>
        <w:rPr>
          <w:i/>
          <w:color w:val="231F20"/>
        </w:rPr>
        <w:t>et al., </w:t>
      </w:r>
      <w:r>
        <w:rPr>
          <w:color w:val="231F20"/>
        </w:rPr>
        <w:t>2022). The crops susceptibility to disease is the main barrier to the sesame production causing 7 million tons of yield loss for every year (Ara </w:t>
      </w:r>
      <w:r>
        <w:rPr>
          <w:i/>
          <w:color w:val="231F20"/>
        </w:rPr>
        <w:t>et al., </w:t>
      </w:r>
      <w:r>
        <w:rPr>
          <w:color w:val="231F20"/>
        </w:rPr>
        <w:t>2017) and</w:t>
      </w:r>
      <w:r>
        <w:rPr>
          <w:color w:val="231F20"/>
          <w:spacing w:val="80"/>
          <w:w w:val="150"/>
        </w:rPr>
        <w:t> </w:t>
      </w:r>
      <w:r>
        <w:rPr>
          <w:color w:val="231F20"/>
        </w:rPr>
        <w:t>it creates significant impact on growers. Stem and root rot caused by </w:t>
      </w:r>
      <w:r>
        <w:rPr>
          <w:i/>
          <w:color w:val="231F20"/>
        </w:rPr>
        <w:t>M. phaseolina </w:t>
      </w:r>
      <w:r>
        <w:rPr>
          <w:color w:val="231F20"/>
        </w:rPr>
        <w:t>is a devastating disease in </w:t>
      </w:r>
      <w:r>
        <w:rPr>
          <w:color w:val="231F20"/>
          <w:spacing w:val="-2"/>
        </w:rPr>
        <w:t>sesame</w:t>
      </w:r>
      <w:r>
        <w:rPr>
          <w:color w:val="231F20"/>
          <w:spacing w:val="-11"/>
        </w:rPr>
        <w:t> </w:t>
      </w:r>
      <w:r>
        <w:rPr>
          <w:color w:val="231F20"/>
          <w:spacing w:val="-2"/>
        </w:rPr>
        <w:t>and</w:t>
      </w:r>
      <w:r>
        <w:rPr>
          <w:color w:val="231F20"/>
          <w:spacing w:val="-11"/>
        </w:rPr>
        <w:t> </w:t>
      </w:r>
      <w:r>
        <w:rPr>
          <w:color w:val="231F20"/>
          <w:spacing w:val="-2"/>
        </w:rPr>
        <w:t>causes</w:t>
      </w:r>
      <w:r>
        <w:rPr>
          <w:color w:val="231F20"/>
          <w:spacing w:val="-11"/>
        </w:rPr>
        <w:t> </w:t>
      </w:r>
      <w:r>
        <w:rPr>
          <w:color w:val="231F20"/>
          <w:spacing w:val="-2"/>
        </w:rPr>
        <w:t>5-100</w:t>
      </w:r>
      <w:r>
        <w:rPr>
          <w:color w:val="231F20"/>
          <w:spacing w:val="-11"/>
        </w:rPr>
        <w:t> </w:t>
      </w:r>
      <w:r>
        <w:rPr>
          <w:color w:val="231F20"/>
          <w:spacing w:val="-2"/>
        </w:rPr>
        <w:t>per</w:t>
      </w:r>
      <w:r>
        <w:rPr>
          <w:color w:val="231F20"/>
          <w:spacing w:val="-11"/>
        </w:rPr>
        <w:t> </w:t>
      </w:r>
      <w:r>
        <w:rPr>
          <w:color w:val="231F20"/>
          <w:spacing w:val="-2"/>
        </w:rPr>
        <w:t>cent</w:t>
      </w:r>
      <w:r>
        <w:rPr>
          <w:color w:val="231F20"/>
          <w:spacing w:val="-11"/>
        </w:rPr>
        <w:t> </w:t>
      </w:r>
      <w:r>
        <w:rPr>
          <w:color w:val="231F20"/>
          <w:spacing w:val="-2"/>
        </w:rPr>
        <w:t>yield</w:t>
      </w:r>
      <w:r>
        <w:rPr>
          <w:color w:val="231F20"/>
          <w:spacing w:val="-11"/>
        </w:rPr>
        <w:t> </w:t>
      </w:r>
      <w:r>
        <w:rPr>
          <w:color w:val="231F20"/>
          <w:spacing w:val="-2"/>
        </w:rPr>
        <w:t>loss</w:t>
      </w:r>
      <w:r>
        <w:rPr>
          <w:color w:val="231F20"/>
          <w:spacing w:val="-11"/>
        </w:rPr>
        <w:t> </w:t>
      </w:r>
      <w:r>
        <w:rPr>
          <w:color w:val="231F20"/>
          <w:spacing w:val="-2"/>
        </w:rPr>
        <w:t>(Vyas,</w:t>
      </w:r>
      <w:r>
        <w:rPr>
          <w:color w:val="231F20"/>
          <w:spacing w:val="-11"/>
        </w:rPr>
        <w:t> </w:t>
      </w:r>
      <w:r>
        <w:rPr>
          <w:color w:val="231F20"/>
          <w:spacing w:val="-2"/>
        </w:rPr>
        <w:t>1981). </w:t>
      </w:r>
      <w:r>
        <w:rPr>
          <w:color w:val="231F20"/>
        </w:rPr>
        <w:t>Murugesan (1978) estimated that increase in 1 per cent of</w:t>
      </w:r>
      <w:r>
        <w:rPr>
          <w:color w:val="231F20"/>
          <w:spacing w:val="-1"/>
        </w:rPr>
        <w:t> </w:t>
      </w:r>
      <w:r>
        <w:rPr>
          <w:color w:val="231F20"/>
        </w:rPr>
        <w:t>disease infection may</w:t>
      </w:r>
      <w:r>
        <w:rPr>
          <w:color w:val="231F20"/>
          <w:spacing w:val="-1"/>
        </w:rPr>
        <w:t> </w:t>
      </w:r>
      <w:r>
        <w:rPr>
          <w:color w:val="231F20"/>
        </w:rPr>
        <w:t>lead to yield</w:t>
      </w:r>
      <w:r>
        <w:rPr>
          <w:color w:val="231F20"/>
          <w:spacing w:val="-1"/>
        </w:rPr>
        <w:t> </w:t>
      </w:r>
      <w:r>
        <w:rPr>
          <w:color w:val="231F20"/>
        </w:rPr>
        <w:t>loss</w:t>
      </w:r>
      <w:r>
        <w:rPr>
          <w:color w:val="231F20"/>
          <w:spacing w:val="-1"/>
        </w:rPr>
        <w:t> </w:t>
      </w:r>
      <w:r>
        <w:rPr>
          <w:color w:val="231F20"/>
        </w:rPr>
        <w:t>of 1.8</w:t>
      </w:r>
      <w:r>
        <w:rPr>
          <w:color w:val="231F20"/>
          <w:spacing w:val="-1"/>
        </w:rPr>
        <w:t> </w:t>
      </w:r>
      <w:r>
        <w:rPr>
          <w:color w:val="231F20"/>
        </w:rPr>
        <w:t>kg ha</w:t>
      </w:r>
      <w:r>
        <w:rPr>
          <w:color w:val="231F20"/>
          <w:position w:val="7"/>
          <w:sz w:val="13"/>
        </w:rPr>
        <w:t>-</w:t>
      </w:r>
      <w:r>
        <w:rPr>
          <w:color w:val="231F20"/>
          <w:spacing w:val="-5"/>
          <w:position w:val="7"/>
          <w:sz w:val="13"/>
        </w:rPr>
        <w:t>1</w:t>
      </w:r>
      <w:r>
        <w:rPr>
          <w:color w:val="231F20"/>
          <w:spacing w:val="-5"/>
        </w:rPr>
        <w:t>.</w:t>
      </w:r>
    </w:p>
    <w:p>
      <w:pPr>
        <w:pStyle w:val="BodyText"/>
        <w:spacing w:line="249" w:lineRule="auto" w:before="126"/>
        <w:ind w:firstLine="719"/>
        <w:jc w:val="both"/>
      </w:pPr>
      <w:r>
        <w:rPr>
          <w:color w:val="231F20"/>
        </w:rPr>
        <w:t>As stem and root rot is a seed, stubble and seed borne disease, it is difficult to control by </w:t>
      </w:r>
      <w:r>
        <w:rPr>
          <w:color w:val="231F20"/>
        </w:rPr>
        <w:t>conventional management practices. Using chemicals not only increase input cost but also harmful to environment. Various management studies have been carried out by several researchers </w:t>
      </w:r>
      <w:r>
        <w:rPr>
          <w:i/>
          <w:color w:val="231F20"/>
        </w:rPr>
        <w:t>viz., </w:t>
      </w:r>
      <w:r>
        <w:rPr>
          <w:color w:val="231F20"/>
        </w:rPr>
        <w:t>using bio-agent (Abdul sattar</w:t>
      </w:r>
      <w:r>
        <w:rPr>
          <w:color w:val="231F20"/>
          <w:spacing w:val="80"/>
          <w:w w:val="150"/>
        </w:rPr>
        <w:t> </w:t>
      </w:r>
      <w:r>
        <w:rPr>
          <w:i/>
          <w:color w:val="231F20"/>
        </w:rPr>
        <w:t>et al., </w:t>
      </w:r>
      <w:r>
        <w:rPr>
          <w:color w:val="231F20"/>
        </w:rPr>
        <w:t>2006), plant extracts (Ahmed </w:t>
      </w:r>
      <w:r>
        <w:rPr>
          <w:i/>
          <w:color w:val="231F20"/>
        </w:rPr>
        <w:t>et al., </w:t>
      </w:r>
      <w:r>
        <w:rPr>
          <w:color w:val="231F20"/>
        </w:rPr>
        <w:t>2010) and cultivating resistant varieties (Thiyagu </w:t>
      </w:r>
      <w:r>
        <w:rPr>
          <w:i/>
          <w:color w:val="231F20"/>
        </w:rPr>
        <w:t>et al., </w:t>
      </w:r>
      <w:r>
        <w:rPr>
          <w:color w:val="231F20"/>
        </w:rPr>
        <w:t>2007). </w:t>
      </w:r>
      <w:r>
        <w:rPr>
          <w:color w:val="231F20"/>
          <w:spacing w:val="-2"/>
        </w:rPr>
        <w:t>Among</w:t>
      </w:r>
      <w:r>
        <w:rPr>
          <w:color w:val="231F20"/>
          <w:spacing w:val="-10"/>
        </w:rPr>
        <w:t> </w:t>
      </w:r>
      <w:r>
        <w:rPr>
          <w:color w:val="231F20"/>
          <w:spacing w:val="-2"/>
        </w:rPr>
        <w:t>these,</w:t>
      </w:r>
      <w:r>
        <w:rPr>
          <w:color w:val="231F20"/>
          <w:spacing w:val="-10"/>
        </w:rPr>
        <w:t> </w:t>
      </w:r>
      <w:r>
        <w:rPr>
          <w:color w:val="231F20"/>
          <w:spacing w:val="-2"/>
        </w:rPr>
        <w:t>host</w:t>
      </w:r>
      <w:r>
        <w:rPr>
          <w:color w:val="231F20"/>
          <w:spacing w:val="-10"/>
        </w:rPr>
        <w:t> </w:t>
      </w:r>
      <w:r>
        <w:rPr>
          <w:color w:val="231F20"/>
          <w:spacing w:val="-2"/>
        </w:rPr>
        <w:t>plant</w:t>
      </w:r>
      <w:r>
        <w:rPr>
          <w:color w:val="231F20"/>
          <w:spacing w:val="-10"/>
        </w:rPr>
        <w:t> </w:t>
      </w:r>
      <w:r>
        <w:rPr>
          <w:color w:val="231F20"/>
          <w:spacing w:val="-2"/>
        </w:rPr>
        <w:t>resistance</w:t>
      </w:r>
      <w:r>
        <w:rPr>
          <w:color w:val="231F20"/>
          <w:spacing w:val="-10"/>
        </w:rPr>
        <w:t> </w:t>
      </w:r>
      <w:r>
        <w:rPr>
          <w:color w:val="231F20"/>
          <w:spacing w:val="-2"/>
        </w:rPr>
        <w:t>is</w:t>
      </w:r>
      <w:r>
        <w:rPr>
          <w:color w:val="231F20"/>
          <w:spacing w:val="-10"/>
        </w:rPr>
        <w:t> </w:t>
      </w:r>
      <w:r>
        <w:rPr>
          <w:color w:val="231F20"/>
          <w:spacing w:val="-2"/>
        </w:rPr>
        <w:t>one</w:t>
      </w:r>
      <w:r>
        <w:rPr>
          <w:color w:val="231F20"/>
          <w:spacing w:val="-10"/>
        </w:rPr>
        <w:t> </w:t>
      </w:r>
      <w:r>
        <w:rPr>
          <w:color w:val="231F20"/>
          <w:spacing w:val="-2"/>
        </w:rPr>
        <w:t>of</w:t>
      </w:r>
      <w:r>
        <w:rPr>
          <w:color w:val="231F20"/>
          <w:spacing w:val="-10"/>
        </w:rPr>
        <w:t> </w:t>
      </w:r>
      <w:r>
        <w:rPr>
          <w:color w:val="231F20"/>
          <w:spacing w:val="-2"/>
        </w:rPr>
        <w:t>the</w:t>
      </w:r>
      <w:r>
        <w:rPr>
          <w:color w:val="231F20"/>
          <w:spacing w:val="-10"/>
        </w:rPr>
        <w:t> </w:t>
      </w:r>
      <w:r>
        <w:rPr>
          <w:color w:val="231F20"/>
          <w:spacing w:val="-2"/>
        </w:rPr>
        <w:t>important </w:t>
      </w:r>
      <w:r>
        <w:rPr>
          <w:color w:val="231F20"/>
        </w:rPr>
        <w:t>effective strategy for the management of disease (Salari </w:t>
      </w:r>
      <w:r>
        <w:rPr>
          <w:i/>
          <w:color w:val="231F20"/>
        </w:rPr>
        <w:t>et al., </w:t>
      </w:r>
      <w:r>
        <w:rPr>
          <w:color w:val="231F20"/>
        </w:rPr>
        <w:t>2012). Different genotypes of sesame will differ in their genetic potential of disease resistance. The screening of genotypes for resistance against stem and root</w:t>
      </w:r>
      <w:r>
        <w:rPr>
          <w:color w:val="231F20"/>
          <w:spacing w:val="31"/>
        </w:rPr>
        <w:t> </w:t>
      </w:r>
      <w:r>
        <w:rPr>
          <w:color w:val="231F20"/>
        </w:rPr>
        <w:t>rot</w:t>
      </w:r>
      <w:r>
        <w:rPr>
          <w:color w:val="231F20"/>
          <w:spacing w:val="33"/>
        </w:rPr>
        <w:t> </w:t>
      </w:r>
      <w:r>
        <w:rPr>
          <w:color w:val="231F20"/>
        </w:rPr>
        <w:t>will</w:t>
      </w:r>
      <w:r>
        <w:rPr>
          <w:color w:val="231F20"/>
          <w:spacing w:val="33"/>
        </w:rPr>
        <w:t> </w:t>
      </w:r>
      <w:r>
        <w:rPr>
          <w:color w:val="231F20"/>
        </w:rPr>
        <w:t>help</w:t>
      </w:r>
      <w:r>
        <w:rPr>
          <w:color w:val="231F20"/>
          <w:spacing w:val="33"/>
        </w:rPr>
        <w:t> </w:t>
      </w:r>
      <w:r>
        <w:rPr>
          <w:color w:val="231F20"/>
        </w:rPr>
        <w:t>to</w:t>
      </w:r>
      <w:r>
        <w:rPr>
          <w:color w:val="231F20"/>
          <w:spacing w:val="33"/>
        </w:rPr>
        <w:t> </w:t>
      </w:r>
      <w:r>
        <w:rPr>
          <w:color w:val="231F20"/>
        </w:rPr>
        <w:t>identify</w:t>
      </w:r>
      <w:r>
        <w:rPr>
          <w:color w:val="231F20"/>
          <w:spacing w:val="32"/>
        </w:rPr>
        <w:t> </w:t>
      </w:r>
      <w:r>
        <w:rPr>
          <w:color w:val="231F20"/>
        </w:rPr>
        <w:t>genotypes</w:t>
      </w:r>
      <w:r>
        <w:rPr>
          <w:color w:val="231F20"/>
          <w:spacing w:val="33"/>
        </w:rPr>
        <w:t> </w:t>
      </w:r>
      <w:r>
        <w:rPr>
          <w:color w:val="231F20"/>
        </w:rPr>
        <w:t>for</w:t>
      </w:r>
      <w:r>
        <w:rPr>
          <w:color w:val="231F20"/>
          <w:spacing w:val="33"/>
        </w:rPr>
        <w:t> </w:t>
      </w:r>
      <w:r>
        <w:rPr>
          <w:color w:val="231F20"/>
          <w:spacing w:val="-2"/>
        </w:rPr>
        <w:t>resistance.</w:t>
      </w:r>
    </w:p>
    <w:p>
      <w:pPr>
        <w:pStyle w:val="BodyText"/>
        <w:spacing w:line="249" w:lineRule="auto" w:before="99"/>
        <w:ind w:right="1"/>
        <w:jc w:val="both"/>
      </w:pPr>
      <w:r>
        <w:rPr/>
        <w:br w:type="column"/>
      </w:r>
      <w:r>
        <w:rPr>
          <w:color w:val="231F20"/>
        </w:rPr>
        <w:t>Hence, the present research was planned out to </w:t>
      </w:r>
      <w:r>
        <w:rPr>
          <w:color w:val="231F20"/>
        </w:rPr>
        <w:t>evaluate the</w:t>
      </w:r>
      <w:r>
        <w:rPr>
          <w:color w:val="231F20"/>
          <w:spacing w:val="-9"/>
        </w:rPr>
        <w:t> </w:t>
      </w:r>
      <w:r>
        <w:rPr>
          <w:color w:val="231F20"/>
        </w:rPr>
        <w:t>resistance</w:t>
      </w:r>
      <w:r>
        <w:rPr>
          <w:color w:val="231F20"/>
          <w:spacing w:val="-9"/>
        </w:rPr>
        <w:t> </w:t>
      </w:r>
      <w:r>
        <w:rPr>
          <w:color w:val="231F20"/>
        </w:rPr>
        <w:t>of</w:t>
      </w:r>
      <w:r>
        <w:rPr>
          <w:color w:val="231F20"/>
          <w:spacing w:val="-9"/>
        </w:rPr>
        <w:t> </w:t>
      </w:r>
      <w:r>
        <w:rPr>
          <w:color w:val="231F20"/>
        </w:rPr>
        <w:t>sesame</w:t>
      </w:r>
      <w:r>
        <w:rPr>
          <w:color w:val="231F20"/>
          <w:spacing w:val="-9"/>
        </w:rPr>
        <w:t> </w:t>
      </w:r>
      <w:r>
        <w:rPr>
          <w:color w:val="231F20"/>
        </w:rPr>
        <w:t>genotypes</w:t>
      </w:r>
      <w:r>
        <w:rPr>
          <w:color w:val="231F20"/>
          <w:spacing w:val="-9"/>
        </w:rPr>
        <w:t> </w:t>
      </w:r>
      <w:r>
        <w:rPr>
          <w:color w:val="231F20"/>
        </w:rPr>
        <w:t>against</w:t>
      </w:r>
      <w:r>
        <w:rPr>
          <w:color w:val="231F20"/>
          <w:spacing w:val="-9"/>
        </w:rPr>
        <w:t> </w:t>
      </w:r>
      <w:r>
        <w:rPr>
          <w:color w:val="231F20"/>
        </w:rPr>
        <w:t>stem</w:t>
      </w:r>
      <w:r>
        <w:rPr>
          <w:color w:val="231F20"/>
          <w:spacing w:val="-9"/>
        </w:rPr>
        <w:t> </w:t>
      </w:r>
      <w:r>
        <w:rPr>
          <w:color w:val="231F20"/>
        </w:rPr>
        <w:t>and</w:t>
      </w:r>
      <w:r>
        <w:rPr>
          <w:color w:val="231F20"/>
          <w:spacing w:val="-9"/>
        </w:rPr>
        <w:t> </w:t>
      </w:r>
      <w:r>
        <w:rPr>
          <w:color w:val="231F20"/>
        </w:rPr>
        <w:t>root rot disease.</w:t>
      </w:r>
    </w:p>
    <w:p>
      <w:pPr>
        <w:pStyle w:val="Heading1"/>
      </w:pPr>
      <w:r>
        <w:rPr>
          <w:color w:val="231F20"/>
          <w:spacing w:val="-2"/>
        </w:rPr>
        <w:t>MATERIAL</w:t>
      </w:r>
      <w:r>
        <w:rPr>
          <w:color w:val="231F20"/>
          <w:spacing w:val="-29"/>
        </w:rPr>
        <w:t> </w:t>
      </w:r>
      <w:r>
        <w:rPr>
          <w:color w:val="231F20"/>
          <w:spacing w:val="-2"/>
        </w:rPr>
        <w:t>AND</w:t>
      </w:r>
      <w:r>
        <w:rPr>
          <w:color w:val="231F20"/>
          <w:spacing w:val="1"/>
        </w:rPr>
        <w:t> </w:t>
      </w:r>
      <w:r>
        <w:rPr>
          <w:color w:val="231F20"/>
          <w:spacing w:val="-2"/>
        </w:rPr>
        <w:t>METHODS</w:t>
      </w:r>
    </w:p>
    <w:p>
      <w:pPr>
        <w:pStyle w:val="BodyText"/>
        <w:spacing w:line="249" w:lineRule="auto" w:before="122"/>
        <w:ind w:firstLine="719"/>
        <w:jc w:val="both"/>
      </w:pPr>
      <w:r>
        <w:rPr>
          <w:color w:val="231F20"/>
        </w:rPr>
        <w:t>Fifty eight sesame genotypes obtained from AICRP on sesame, Tirupati were evaluated for their resistance against stem and root rot disease under </w:t>
      </w:r>
      <w:r>
        <w:rPr>
          <w:color w:val="231F20"/>
        </w:rPr>
        <w:t>sick plot conditions during the year 2025. Each genotype</w:t>
      </w:r>
      <w:r>
        <w:rPr>
          <w:color w:val="231F20"/>
          <w:spacing w:val="40"/>
        </w:rPr>
        <w:t> </w:t>
      </w:r>
      <w:r>
        <w:rPr>
          <w:color w:val="231F20"/>
        </w:rPr>
        <w:t>was sown in a row of 3 m length with inter row spacing of 30 cm. A row of susceptible check was sown after every</w:t>
      </w:r>
      <w:r>
        <w:rPr>
          <w:color w:val="231F20"/>
          <w:spacing w:val="-12"/>
        </w:rPr>
        <w:t> </w:t>
      </w:r>
      <w:r>
        <w:rPr>
          <w:color w:val="231F20"/>
        </w:rPr>
        <w:t>four</w:t>
      </w:r>
      <w:r>
        <w:rPr>
          <w:color w:val="231F20"/>
          <w:spacing w:val="-11"/>
        </w:rPr>
        <w:t> </w:t>
      </w:r>
      <w:r>
        <w:rPr>
          <w:color w:val="231F20"/>
        </w:rPr>
        <w:t>genotypes.</w:t>
      </w:r>
      <w:r>
        <w:rPr>
          <w:color w:val="231F20"/>
          <w:spacing w:val="-14"/>
        </w:rPr>
        <w:t> </w:t>
      </w:r>
      <w:r>
        <w:rPr>
          <w:color w:val="231F20"/>
        </w:rPr>
        <w:t>Two</w:t>
      </w:r>
      <w:r>
        <w:rPr>
          <w:color w:val="231F20"/>
          <w:spacing w:val="-11"/>
        </w:rPr>
        <w:t> </w:t>
      </w:r>
      <w:r>
        <w:rPr>
          <w:color w:val="231F20"/>
        </w:rPr>
        <w:t>replications</w:t>
      </w:r>
      <w:r>
        <w:rPr>
          <w:color w:val="231F20"/>
          <w:spacing w:val="-11"/>
        </w:rPr>
        <w:t> </w:t>
      </w:r>
      <w:r>
        <w:rPr>
          <w:color w:val="231F20"/>
        </w:rPr>
        <w:t>of</w:t>
      </w:r>
      <w:r>
        <w:rPr>
          <w:color w:val="231F20"/>
          <w:spacing w:val="-11"/>
        </w:rPr>
        <w:t> </w:t>
      </w:r>
      <w:r>
        <w:rPr>
          <w:color w:val="231F20"/>
        </w:rPr>
        <w:t>each</w:t>
      </w:r>
      <w:r>
        <w:rPr>
          <w:color w:val="231F20"/>
          <w:spacing w:val="-11"/>
        </w:rPr>
        <w:t> </w:t>
      </w:r>
      <w:r>
        <w:rPr>
          <w:color w:val="231F20"/>
        </w:rPr>
        <w:t>genotype was maintained. Two susceptible checks, YLM-66 and YLM-146</w:t>
      </w:r>
      <w:r>
        <w:rPr>
          <w:color w:val="231F20"/>
          <w:spacing w:val="-8"/>
        </w:rPr>
        <w:t> </w:t>
      </w:r>
      <w:r>
        <w:rPr>
          <w:color w:val="231F20"/>
        </w:rPr>
        <w:t>were</w:t>
      </w:r>
      <w:r>
        <w:rPr>
          <w:color w:val="231F20"/>
          <w:spacing w:val="-8"/>
        </w:rPr>
        <w:t> </w:t>
      </w:r>
      <w:r>
        <w:rPr>
          <w:color w:val="231F20"/>
        </w:rPr>
        <w:t>used</w:t>
      </w:r>
      <w:r>
        <w:rPr>
          <w:color w:val="231F20"/>
          <w:spacing w:val="-8"/>
        </w:rPr>
        <w:t> </w:t>
      </w:r>
      <w:r>
        <w:rPr>
          <w:color w:val="231F20"/>
        </w:rPr>
        <w:t>as</w:t>
      </w:r>
      <w:r>
        <w:rPr>
          <w:color w:val="231F20"/>
          <w:spacing w:val="-8"/>
        </w:rPr>
        <w:t> </w:t>
      </w:r>
      <w:r>
        <w:rPr>
          <w:color w:val="231F20"/>
        </w:rPr>
        <w:t>infector</w:t>
      </w:r>
      <w:r>
        <w:rPr>
          <w:color w:val="231F20"/>
          <w:spacing w:val="-8"/>
        </w:rPr>
        <w:t> </w:t>
      </w:r>
      <w:r>
        <w:rPr>
          <w:color w:val="231F20"/>
        </w:rPr>
        <w:t>rows.</w:t>
      </w:r>
      <w:r>
        <w:rPr>
          <w:color w:val="231F20"/>
          <w:spacing w:val="-8"/>
        </w:rPr>
        <w:t> </w:t>
      </w:r>
      <w:r>
        <w:rPr>
          <w:color w:val="231F20"/>
        </w:rPr>
        <w:t>Disease</w:t>
      </w:r>
      <w:r>
        <w:rPr>
          <w:color w:val="231F20"/>
          <w:spacing w:val="-8"/>
        </w:rPr>
        <w:t> </w:t>
      </w:r>
      <w:r>
        <w:rPr>
          <w:color w:val="231F20"/>
        </w:rPr>
        <w:t>incidence were</w:t>
      </w:r>
      <w:r>
        <w:rPr>
          <w:color w:val="231F20"/>
          <w:spacing w:val="-1"/>
        </w:rPr>
        <w:t> </w:t>
      </w:r>
      <w:r>
        <w:rPr>
          <w:color w:val="231F20"/>
        </w:rPr>
        <w:t>recorded</w:t>
      </w:r>
      <w:r>
        <w:rPr>
          <w:color w:val="231F20"/>
          <w:spacing w:val="-2"/>
        </w:rPr>
        <w:t> </w:t>
      </w:r>
      <w:r>
        <w:rPr>
          <w:color w:val="231F20"/>
        </w:rPr>
        <w:t>at</w:t>
      </w:r>
      <w:r>
        <w:rPr>
          <w:color w:val="231F20"/>
          <w:spacing w:val="-2"/>
        </w:rPr>
        <w:t> </w:t>
      </w:r>
      <w:r>
        <w:rPr>
          <w:color w:val="231F20"/>
        </w:rPr>
        <w:t>70</w:t>
      </w:r>
      <w:r>
        <w:rPr>
          <w:color w:val="231F20"/>
          <w:spacing w:val="-1"/>
        </w:rPr>
        <w:t> </w:t>
      </w:r>
      <w:r>
        <w:rPr>
          <w:color w:val="231F20"/>
        </w:rPr>
        <w:t>days</w:t>
      </w:r>
      <w:r>
        <w:rPr>
          <w:color w:val="231F20"/>
          <w:spacing w:val="-1"/>
        </w:rPr>
        <w:t> </w:t>
      </w:r>
      <w:r>
        <w:rPr>
          <w:color w:val="231F20"/>
        </w:rPr>
        <w:t>and</w:t>
      </w:r>
      <w:r>
        <w:rPr>
          <w:color w:val="231F20"/>
          <w:spacing w:val="-1"/>
        </w:rPr>
        <w:t> </w:t>
      </w:r>
      <w:r>
        <w:rPr>
          <w:color w:val="231F20"/>
        </w:rPr>
        <w:t>Percent</w:t>
      </w:r>
      <w:r>
        <w:rPr>
          <w:color w:val="231F20"/>
          <w:spacing w:val="-2"/>
        </w:rPr>
        <w:t> </w:t>
      </w:r>
      <w:r>
        <w:rPr>
          <w:color w:val="231F20"/>
        </w:rPr>
        <w:t>Disease</w:t>
      </w:r>
      <w:r>
        <w:rPr>
          <w:color w:val="231F20"/>
          <w:spacing w:val="-1"/>
        </w:rPr>
        <w:t> </w:t>
      </w:r>
      <w:r>
        <w:rPr>
          <w:color w:val="231F20"/>
        </w:rPr>
        <w:t>Incidence (PDI) was calculated.</w:t>
      </w:r>
    </w:p>
    <w:p>
      <w:pPr>
        <w:pStyle w:val="BodyText"/>
        <w:spacing w:before="111"/>
        <w:ind w:left="433"/>
        <w:rPr>
          <w:position w:val="-16"/>
        </w:rPr>
      </w:pPr>
      <w:r>
        <w:rPr/>
        <w:t>PDI = </w:t>
      </w:r>
      <w:r>
        <w:rPr>
          <w:position w:val="-16"/>
        </w:rPr>
        <w:drawing>
          <wp:inline distT="0" distB="0" distL="0" distR="0">
            <wp:extent cx="1460255" cy="283629"/>
            <wp:effectExtent l="0" t="0" r="0" b="0"/>
            <wp:docPr id="4" name="Image 4"/>
            <wp:cNvGraphicFramePr>
              <a:graphicFrameLocks/>
            </wp:cNvGraphicFramePr>
            <a:graphic>
              <a:graphicData uri="http://schemas.openxmlformats.org/drawingml/2006/picture">
                <pic:pic>
                  <pic:nvPicPr>
                    <pic:cNvPr id="4" name="Image 4"/>
                    <pic:cNvPicPr/>
                  </pic:nvPicPr>
                  <pic:blipFill>
                    <a:blip r:embed="rId8" cstate="print"/>
                    <a:stretch>
                      <a:fillRect/>
                    </a:stretch>
                  </pic:blipFill>
                  <pic:spPr>
                    <a:xfrm>
                      <a:off x="0" y="0"/>
                      <a:ext cx="1460255" cy="283629"/>
                    </a:xfrm>
                    <a:prstGeom prst="rect">
                      <a:avLst/>
                    </a:prstGeom>
                  </pic:spPr>
                </pic:pic>
              </a:graphicData>
            </a:graphic>
          </wp:inline>
        </w:drawing>
      </w:r>
      <w:r>
        <w:rPr>
          <w:position w:val="-16"/>
        </w:rPr>
      </w:r>
    </w:p>
    <w:p>
      <w:pPr>
        <w:pStyle w:val="BodyText"/>
        <w:spacing w:before="184"/>
        <w:ind w:left="0"/>
      </w:pPr>
    </w:p>
    <w:p>
      <w:pPr>
        <w:pStyle w:val="BodyText"/>
        <w:spacing w:line="249" w:lineRule="auto" w:before="1"/>
        <w:ind w:firstLine="432"/>
        <w:jc w:val="both"/>
      </w:pPr>
      <w:r>
        <w:rPr>
          <w:color w:val="231F20"/>
        </w:rPr>
        <w:t>Based on PDI, the genotypes were categorized as resistant, moderately resistant, moderately </w:t>
      </w:r>
      <w:r>
        <w:rPr>
          <w:color w:val="231F20"/>
        </w:rPr>
        <w:t>susceptible, susceptible and highly susceptible (Table 1).</w:t>
      </w:r>
    </w:p>
    <w:p>
      <w:pPr>
        <w:pStyle w:val="Heading1"/>
      </w:pPr>
      <w:r>
        <w:rPr>
          <w:color w:val="231F20"/>
          <w:spacing w:val="-2"/>
        </w:rPr>
        <w:t>RESULTS</w:t>
      </w:r>
      <w:r>
        <w:rPr>
          <w:color w:val="231F20"/>
          <w:spacing w:val="-16"/>
        </w:rPr>
        <w:t> </w:t>
      </w:r>
      <w:r>
        <w:rPr>
          <w:color w:val="231F20"/>
          <w:spacing w:val="-2"/>
        </w:rPr>
        <w:t>AND</w:t>
      </w:r>
      <w:r>
        <w:rPr>
          <w:color w:val="231F20"/>
          <w:spacing w:val="-5"/>
        </w:rPr>
        <w:t> </w:t>
      </w:r>
      <w:r>
        <w:rPr>
          <w:color w:val="231F20"/>
          <w:spacing w:val="-2"/>
        </w:rPr>
        <w:t>DISCUSSION</w:t>
      </w:r>
    </w:p>
    <w:p>
      <w:pPr>
        <w:pStyle w:val="BodyText"/>
        <w:spacing w:line="249" w:lineRule="auto" w:before="122"/>
        <w:ind w:right="1" w:firstLine="719"/>
        <w:jc w:val="both"/>
      </w:pPr>
      <w:r>
        <w:rPr>
          <w:color w:val="231F20"/>
        </w:rPr>
        <w:t>Results from the field experiment on </w:t>
      </w:r>
      <w:r>
        <w:rPr>
          <w:color w:val="231F20"/>
        </w:rPr>
        <w:t>screening of sesame genotypes against stem and root rot revealed that</w:t>
      </w:r>
      <w:r>
        <w:rPr>
          <w:color w:val="231F20"/>
          <w:spacing w:val="24"/>
        </w:rPr>
        <w:t> </w:t>
      </w:r>
      <w:r>
        <w:rPr>
          <w:color w:val="231F20"/>
        </w:rPr>
        <w:t>mean</w:t>
      </w:r>
      <w:r>
        <w:rPr>
          <w:color w:val="231F20"/>
          <w:spacing w:val="25"/>
        </w:rPr>
        <w:t> </w:t>
      </w:r>
      <w:r>
        <w:rPr>
          <w:color w:val="231F20"/>
        </w:rPr>
        <w:t>disease</w:t>
      </w:r>
      <w:r>
        <w:rPr>
          <w:color w:val="231F20"/>
          <w:spacing w:val="25"/>
        </w:rPr>
        <w:t> </w:t>
      </w:r>
      <w:r>
        <w:rPr>
          <w:color w:val="231F20"/>
        </w:rPr>
        <w:t>incidence</w:t>
      </w:r>
      <w:r>
        <w:rPr>
          <w:color w:val="231F20"/>
          <w:spacing w:val="25"/>
        </w:rPr>
        <w:t> </w:t>
      </w:r>
      <w:r>
        <w:rPr>
          <w:color w:val="231F20"/>
        </w:rPr>
        <w:t>of</w:t>
      </w:r>
      <w:r>
        <w:rPr>
          <w:color w:val="231F20"/>
          <w:spacing w:val="25"/>
        </w:rPr>
        <w:t> </w:t>
      </w:r>
      <w:r>
        <w:rPr>
          <w:color w:val="231F20"/>
        </w:rPr>
        <w:t>genotypes</w:t>
      </w:r>
      <w:r>
        <w:rPr>
          <w:color w:val="231F20"/>
          <w:spacing w:val="25"/>
        </w:rPr>
        <w:t> </w:t>
      </w:r>
      <w:r>
        <w:rPr>
          <w:color w:val="231F20"/>
        </w:rPr>
        <w:t>ranged</w:t>
      </w:r>
      <w:r>
        <w:rPr>
          <w:color w:val="231F20"/>
          <w:spacing w:val="25"/>
        </w:rPr>
        <w:t> </w:t>
      </w:r>
      <w:r>
        <w:rPr>
          <w:color w:val="231F20"/>
          <w:spacing w:val="-4"/>
        </w:rPr>
        <w:t>from</w:t>
      </w:r>
    </w:p>
    <w:p>
      <w:pPr>
        <w:pStyle w:val="BodyText"/>
        <w:spacing w:after="0" w:line="249" w:lineRule="auto"/>
        <w:jc w:val="both"/>
        <w:sectPr>
          <w:type w:val="continuous"/>
          <w:pgSz w:w="12480" w:h="15880"/>
          <w:pgMar w:header="0" w:footer="988" w:top="980" w:bottom="1180" w:left="1133" w:right="1133"/>
          <w:cols w:num="2" w:equalWidth="0">
            <w:col w:w="4963" w:space="280"/>
            <w:col w:w="4971"/>
          </w:cols>
        </w:sectPr>
      </w:pPr>
    </w:p>
    <w:p>
      <w:pPr>
        <w:pStyle w:val="BodyText"/>
        <w:spacing w:before="42" w:after="1"/>
        <w:ind w:left="0"/>
        <w:rPr>
          <w:sz w:val="20"/>
        </w:rPr>
      </w:pPr>
    </w:p>
    <w:p>
      <w:pPr>
        <w:pStyle w:val="BodyText"/>
        <w:spacing w:line="20" w:lineRule="exact"/>
        <w:rPr>
          <w:sz w:val="2"/>
        </w:rPr>
      </w:pPr>
      <w:r>
        <w:rPr>
          <w:sz w:val="2"/>
        </w:rPr>
        <mc:AlternateContent>
          <mc:Choice Requires="wps">
            <w:drawing>
              <wp:inline distT="0" distB="0" distL="0" distR="0">
                <wp:extent cx="914400" cy="12700"/>
                <wp:effectExtent l="9525" t="0" r="0" b="6350"/>
                <wp:docPr id="5" name="Group 5"/>
                <wp:cNvGraphicFramePr>
                  <a:graphicFrameLocks/>
                </wp:cNvGraphicFramePr>
                <a:graphic>
                  <a:graphicData uri="http://schemas.microsoft.com/office/word/2010/wordprocessingGroup">
                    <wpg:wgp>
                      <wpg:cNvPr id="5" name="Group 5"/>
                      <wpg:cNvGrpSpPr/>
                      <wpg:grpSpPr>
                        <a:xfrm>
                          <a:off x="0" y="0"/>
                          <a:ext cx="914400" cy="12700"/>
                          <a:chExt cx="914400" cy="12700"/>
                        </a:xfrm>
                      </wpg:grpSpPr>
                      <wps:wsp>
                        <wps:cNvPr id="6" name="Graphic 6"/>
                        <wps:cNvSpPr/>
                        <wps:spPr>
                          <a:xfrm>
                            <a:off x="0" y="6350"/>
                            <a:ext cx="914400" cy="1270"/>
                          </a:xfrm>
                          <a:custGeom>
                            <a:avLst/>
                            <a:gdLst/>
                            <a:ahLst/>
                            <a:cxnLst/>
                            <a:rect l="l" t="t" r="r" b="b"/>
                            <a:pathLst>
                              <a:path w="914400" h="0">
                                <a:moveTo>
                                  <a:pt x="0" y="0"/>
                                </a:moveTo>
                                <a:lnTo>
                                  <a:pt x="914400" y="0"/>
                                </a:lnTo>
                              </a:path>
                            </a:pathLst>
                          </a:custGeom>
                          <a:ln w="12700">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72pt;height:1pt;mso-position-horizontal-relative:char;mso-position-vertical-relative:line" id="docshapegroup3" coordorigin="0,0" coordsize="1440,20">
                <v:line style="position:absolute" from="0,10" to="1440,10" stroked="true" strokeweight="1pt" strokecolor="#231f20">
                  <v:stroke dashstyle="solid"/>
                </v:line>
              </v:group>
            </w:pict>
          </mc:Fallback>
        </mc:AlternateContent>
      </w:r>
      <w:r>
        <w:rPr>
          <w:sz w:val="2"/>
        </w:rPr>
      </w:r>
    </w:p>
    <w:p>
      <w:pPr>
        <w:spacing w:before="0"/>
        <w:ind w:left="1" w:right="0" w:firstLine="0"/>
        <w:jc w:val="left"/>
        <w:rPr>
          <w:sz w:val="20"/>
        </w:rPr>
      </w:pPr>
      <w:r>
        <w:rPr>
          <w:color w:val="231F20"/>
          <w:sz w:val="20"/>
        </w:rPr>
        <w:t>*Corresponding author, E-mail:</w:t>
      </w:r>
      <w:r>
        <w:rPr>
          <w:color w:val="231F20"/>
          <w:spacing w:val="-1"/>
          <w:sz w:val="20"/>
        </w:rPr>
        <w:t> </w:t>
      </w:r>
      <w:hyperlink r:id="rId9">
        <w:r>
          <w:rPr>
            <w:color w:val="231F20"/>
            <w:spacing w:val="-2"/>
            <w:sz w:val="20"/>
          </w:rPr>
          <w:t>vishnuagri2001@gmail.com</w:t>
        </w:r>
      </w:hyperlink>
    </w:p>
    <w:p>
      <w:pPr>
        <w:spacing w:after="0"/>
        <w:jc w:val="left"/>
        <w:rPr>
          <w:sz w:val="20"/>
        </w:rPr>
        <w:sectPr>
          <w:type w:val="continuous"/>
          <w:pgSz w:w="12480" w:h="15880"/>
          <w:pgMar w:header="0" w:footer="988" w:top="980" w:bottom="1180" w:left="1133" w:right="1133"/>
        </w:sectPr>
      </w:pPr>
    </w:p>
    <w:p>
      <w:pPr>
        <w:pStyle w:val="BodyText"/>
        <w:spacing w:before="132"/>
        <w:ind w:left="0"/>
      </w:pPr>
    </w:p>
    <w:p>
      <w:pPr>
        <w:spacing w:line="249" w:lineRule="auto" w:before="0"/>
        <w:ind w:left="776" w:right="0" w:hanging="775"/>
        <w:jc w:val="left"/>
        <w:rPr>
          <w:b/>
          <w:sz w:val="22"/>
        </w:rPr>
      </w:pPr>
      <w:r>
        <w:rPr>
          <w:b/>
          <w:color w:val="231F20"/>
          <w:sz w:val="22"/>
        </w:rPr>
        <w:t>Table</w:t>
      </w:r>
      <w:r>
        <w:rPr>
          <w:b/>
          <w:color w:val="231F20"/>
          <w:spacing w:val="-4"/>
          <w:sz w:val="22"/>
        </w:rPr>
        <w:t> </w:t>
      </w:r>
      <w:r>
        <w:rPr>
          <w:b/>
          <w:color w:val="231F20"/>
          <w:sz w:val="22"/>
        </w:rPr>
        <w:t>1.</w:t>
      </w:r>
      <w:r>
        <w:rPr>
          <w:b/>
          <w:color w:val="231F20"/>
          <w:spacing w:val="-4"/>
          <w:sz w:val="22"/>
        </w:rPr>
        <w:t> </w:t>
      </w:r>
      <w:r>
        <w:rPr>
          <w:b/>
          <w:color w:val="231F20"/>
          <w:sz w:val="22"/>
        </w:rPr>
        <w:t>Disease</w:t>
      </w:r>
      <w:r>
        <w:rPr>
          <w:b/>
          <w:color w:val="231F20"/>
          <w:spacing w:val="-4"/>
          <w:sz w:val="22"/>
        </w:rPr>
        <w:t> </w:t>
      </w:r>
      <w:r>
        <w:rPr>
          <w:b/>
          <w:color w:val="231F20"/>
          <w:sz w:val="22"/>
        </w:rPr>
        <w:t>scale</w:t>
      </w:r>
      <w:r>
        <w:rPr>
          <w:b/>
          <w:color w:val="231F20"/>
          <w:spacing w:val="-4"/>
          <w:sz w:val="22"/>
        </w:rPr>
        <w:t> </w:t>
      </w:r>
      <w:r>
        <w:rPr>
          <w:b/>
          <w:color w:val="231F20"/>
          <w:sz w:val="22"/>
        </w:rPr>
        <w:t>used</w:t>
      </w:r>
      <w:r>
        <w:rPr>
          <w:b/>
          <w:color w:val="231F20"/>
          <w:spacing w:val="-5"/>
          <w:sz w:val="22"/>
        </w:rPr>
        <w:t> </w:t>
      </w:r>
      <w:r>
        <w:rPr>
          <w:b/>
          <w:color w:val="231F20"/>
          <w:sz w:val="22"/>
        </w:rPr>
        <w:t>for</w:t>
      </w:r>
      <w:r>
        <w:rPr>
          <w:b/>
          <w:color w:val="231F20"/>
          <w:spacing w:val="-8"/>
          <w:sz w:val="22"/>
        </w:rPr>
        <w:t> </w:t>
      </w:r>
      <w:r>
        <w:rPr>
          <w:b/>
          <w:color w:val="231F20"/>
          <w:sz w:val="22"/>
        </w:rPr>
        <w:t>evaluation</w:t>
      </w:r>
      <w:r>
        <w:rPr>
          <w:b/>
          <w:color w:val="231F20"/>
          <w:spacing w:val="-5"/>
          <w:sz w:val="22"/>
        </w:rPr>
        <w:t> </w:t>
      </w:r>
      <w:r>
        <w:rPr>
          <w:b/>
          <w:color w:val="231F20"/>
          <w:sz w:val="22"/>
        </w:rPr>
        <w:t>of</w:t>
      </w:r>
      <w:r>
        <w:rPr>
          <w:b/>
          <w:color w:val="231F20"/>
          <w:spacing w:val="-4"/>
          <w:sz w:val="22"/>
        </w:rPr>
        <w:t> </w:t>
      </w:r>
      <w:r>
        <w:rPr>
          <w:b/>
          <w:color w:val="231F20"/>
          <w:sz w:val="22"/>
        </w:rPr>
        <w:t>disease</w:t>
      </w:r>
      <w:r>
        <w:rPr>
          <w:b/>
          <w:color w:val="231F20"/>
          <w:spacing w:val="-4"/>
          <w:sz w:val="22"/>
        </w:rPr>
        <w:t> </w:t>
      </w:r>
      <w:r>
        <w:rPr>
          <w:b/>
          <w:color w:val="231F20"/>
          <w:sz w:val="22"/>
        </w:rPr>
        <w:t>resistance</w:t>
      </w:r>
      <w:r>
        <w:rPr>
          <w:b/>
          <w:color w:val="231F20"/>
          <w:spacing w:val="-4"/>
          <w:sz w:val="22"/>
        </w:rPr>
        <w:t> </w:t>
      </w:r>
      <w:r>
        <w:rPr>
          <w:b/>
          <w:color w:val="231F20"/>
          <w:sz w:val="22"/>
        </w:rPr>
        <w:t>in</w:t>
      </w:r>
      <w:r>
        <w:rPr>
          <w:b/>
          <w:color w:val="231F20"/>
          <w:spacing w:val="-5"/>
          <w:sz w:val="22"/>
        </w:rPr>
        <w:t> </w:t>
      </w:r>
      <w:r>
        <w:rPr>
          <w:b/>
          <w:color w:val="231F20"/>
          <w:sz w:val="22"/>
        </w:rPr>
        <w:t>sesame</w:t>
      </w:r>
      <w:r>
        <w:rPr>
          <w:b/>
          <w:color w:val="231F20"/>
          <w:spacing w:val="-4"/>
          <w:sz w:val="22"/>
        </w:rPr>
        <w:t> </w:t>
      </w:r>
      <w:r>
        <w:rPr>
          <w:b/>
          <w:color w:val="231F20"/>
          <w:sz w:val="22"/>
        </w:rPr>
        <w:t>genotypes</w:t>
      </w:r>
      <w:r>
        <w:rPr>
          <w:b/>
          <w:color w:val="231F20"/>
          <w:spacing w:val="-5"/>
          <w:sz w:val="22"/>
        </w:rPr>
        <w:t> </w:t>
      </w:r>
      <w:r>
        <w:rPr>
          <w:b/>
          <w:color w:val="231F20"/>
          <w:sz w:val="22"/>
        </w:rPr>
        <w:t>(Dinakaran</w:t>
      </w:r>
      <w:r>
        <w:rPr>
          <w:b/>
          <w:color w:val="231F20"/>
          <w:spacing w:val="-5"/>
          <w:sz w:val="22"/>
        </w:rPr>
        <w:t> </w:t>
      </w:r>
      <w:r>
        <w:rPr>
          <w:b/>
          <w:color w:val="231F20"/>
          <w:sz w:val="22"/>
        </w:rPr>
        <w:t>and</w:t>
      </w:r>
      <w:r>
        <w:rPr>
          <w:b/>
          <w:color w:val="231F20"/>
          <w:spacing w:val="-5"/>
          <w:sz w:val="22"/>
        </w:rPr>
        <w:t> </w:t>
      </w:r>
      <w:r>
        <w:rPr>
          <w:b/>
          <w:color w:val="231F20"/>
          <w:sz w:val="22"/>
        </w:rPr>
        <w:t>Naina Mohamed, 2001)</w:t>
      </w:r>
    </w:p>
    <w:p>
      <w:pPr>
        <w:pStyle w:val="BodyText"/>
        <w:spacing w:before="5"/>
        <w:ind w:left="0"/>
        <w:rPr>
          <w:b/>
          <w:sz w:val="14"/>
        </w:rPr>
      </w:pPr>
    </w:p>
    <w:tbl>
      <w:tblPr>
        <w:tblW w:w="0" w:type="auto"/>
        <w:jc w:val="left"/>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38"/>
        <w:gridCol w:w="3048"/>
        <w:gridCol w:w="3730"/>
      </w:tblGrid>
      <w:tr>
        <w:trPr>
          <w:trHeight w:val="411" w:hRule="atLeast"/>
        </w:trPr>
        <w:tc>
          <w:tcPr>
            <w:tcW w:w="3338" w:type="dxa"/>
            <w:tcBorders>
              <w:top w:val="single" w:sz="8" w:space="0" w:color="000000"/>
              <w:bottom w:val="single" w:sz="8" w:space="0" w:color="000000"/>
            </w:tcBorders>
          </w:tcPr>
          <w:p>
            <w:pPr>
              <w:pStyle w:val="TableParagraph"/>
              <w:spacing w:before="80"/>
              <w:ind w:left="32"/>
              <w:rPr>
                <w:b/>
                <w:sz w:val="22"/>
              </w:rPr>
            </w:pPr>
            <w:r>
              <w:rPr>
                <w:b/>
                <w:spacing w:val="-2"/>
                <w:sz w:val="22"/>
              </w:rPr>
              <w:t>Scale</w:t>
            </w:r>
          </w:p>
        </w:tc>
        <w:tc>
          <w:tcPr>
            <w:tcW w:w="3048" w:type="dxa"/>
            <w:tcBorders>
              <w:top w:val="single" w:sz="8" w:space="0" w:color="000000"/>
              <w:bottom w:val="single" w:sz="8" w:space="0" w:color="000000"/>
            </w:tcBorders>
          </w:tcPr>
          <w:p>
            <w:pPr>
              <w:pStyle w:val="TableParagraph"/>
              <w:spacing w:before="80"/>
              <w:ind w:right="1138"/>
              <w:jc w:val="right"/>
              <w:rPr>
                <w:b/>
                <w:sz w:val="22"/>
              </w:rPr>
            </w:pPr>
            <w:r>
              <w:rPr>
                <w:b/>
                <w:spacing w:val="-5"/>
                <w:sz w:val="22"/>
              </w:rPr>
              <w:t>PDI</w:t>
            </w:r>
          </w:p>
        </w:tc>
        <w:tc>
          <w:tcPr>
            <w:tcW w:w="3730" w:type="dxa"/>
            <w:tcBorders>
              <w:top w:val="single" w:sz="8" w:space="0" w:color="000000"/>
              <w:bottom w:val="single" w:sz="8" w:space="0" w:color="000000"/>
            </w:tcBorders>
          </w:tcPr>
          <w:p>
            <w:pPr>
              <w:pStyle w:val="TableParagraph"/>
              <w:spacing w:before="80"/>
              <w:ind w:left="361"/>
              <w:rPr>
                <w:b/>
                <w:sz w:val="22"/>
              </w:rPr>
            </w:pPr>
            <w:r>
              <w:rPr>
                <w:b/>
                <w:spacing w:val="-2"/>
                <w:sz w:val="22"/>
              </w:rPr>
              <w:t>Reaction</w:t>
            </w:r>
          </w:p>
        </w:tc>
      </w:tr>
      <w:tr>
        <w:trPr>
          <w:trHeight w:val="419" w:hRule="atLeast"/>
        </w:trPr>
        <w:tc>
          <w:tcPr>
            <w:tcW w:w="3338" w:type="dxa"/>
            <w:tcBorders>
              <w:top w:val="single" w:sz="8" w:space="0" w:color="000000"/>
            </w:tcBorders>
          </w:tcPr>
          <w:p>
            <w:pPr>
              <w:pStyle w:val="TableParagraph"/>
              <w:spacing w:before="82"/>
              <w:ind w:left="32" w:right="2"/>
              <w:rPr>
                <w:sz w:val="22"/>
              </w:rPr>
            </w:pPr>
            <w:r>
              <w:rPr>
                <w:spacing w:val="-10"/>
                <w:sz w:val="22"/>
              </w:rPr>
              <w:t>1</w:t>
            </w:r>
          </w:p>
        </w:tc>
        <w:tc>
          <w:tcPr>
            <w:tcW w:w="3048" w:type="dxa"/>
            <w:tcBorders>
              <w:top w:val="single" w:sz="8" w:space="0" w:color="000000"/>
            </w:tcBorders>
          </w:tcPr>
          <w:p>
            <w:pPr>
              <w:pStyle w:val="TableParagraph"/>
              <w:spacing w:before="82"/>
              <w:ind w:right="1124"/>
              <w:jc w:val="right"/>
              <w:rPr>
                <w:sz w:val="22"/>
              </w:rPr>
            </w:pPr>
            <w:r>
              <w:rPr>
                <w:spacing w:val="-2"/>
                <w:sz w:val="22"/>
              </w:rPr>
              <w:t>1-</w:t>
            </w:r>
            <w:r>
              <w:rPr>
                <w:spacing w:val="-5"/>
                <w:sz w:val="22"/>
              </w:rPr>
              <w:t>10</w:t>
            </w:r>
          </w:p>
        </w:tc>
        <w:tc>
          <w:tcPr>
            <w:tcW w:w="3730" w:type="dxa"/>
            <w:tcBorders>
              <w:top w:val="single" w:sz="8" w:space="0" w:color="000000"/>
            </w:tcBorders>
          </w:tcPr>
          <w:p>
            <w:pPr>
              <w:pStyle w:val="TableParagraph"/>
              <w:spacing w:before="82"/>
              <w:ind w:left="361" w:right="2"/>
              <w:rPr>
                <w:sz w:val="22"/>
              </w:rPr>
            </w:pPr>
            <w:r>
              <w:rPr>
                <w:spacing w:val="-2"/>
                <w:sz w:val="22"/>
              </w:rPr>
              <w:t>Resistant</w:t>
            </w:r>
          </w:p>
        </w:tc>
      </w:tr>
      <w:tr>
        <w:trPr>
          <w:trHeight w:val="412" w:hRule="atLeast"/>
        </w:trPr>
        <w:tc>
          <w:tcPr>
            <w:tcW w:w="3338" w:type="dxa"/>
          </w:tcPr>
          <w:p>
            <w:pPr>
              <w:pStyle w:val="TableParagraph"/>
              <w:spacing w:before="75"/>
              <w:ind w:left="32" w:right="2"/>
              <w:rPr>
                <w:sz w:val="22"/>
              </w:rPr>
            </w:pPr>
            <w:r>
              <w:rPr>
                <w:spacing w:val="-10"/>
                <w:sz w:val="22"/>
              </w:rPr>
              <w:t>3</w:t>
            </w:r>
          </w:p>
        </w:tc>
        <w:tc>
          <w:tcPr>
            <w:tcW w:w="3048" w:type="dxa"/>
          </w:tcPr>
          <w:p>
            <w:pPr>
              <w:pStyle w:val="TableParagraph"/>
              <w:spacing w:before="75"/>
              <w:ind w:right="1069"/>
              <w:jc w:val="right"/>
              <w:rPr>
                <w:sz w:val="22"/>
              </w:rPr>
            </w:pPr>
            <w:r>
              <w:rPr>
                <w:spacing w:val="-2"/>
                <w:sz w:val="22"/>
              </w:rPr>
              <w:t>11-</w:t>
            </w:r>
            <w:r>
              <w:rPr>
                <w:spacing w:val="-7"/>
                <w:sz w:val="22"/>
              </w:rPr>
              <w:t>20</w:t>
            </w:r>
          </w:p>
        </w:tc>
        <w:tc>
          <w:tcPr>
            <w:tcW w:w="3730" w:type="dxa"/>
          </w:tcPr>
          <w:p>
            <w:pPr>
              <w:pStyle w:val="TableParagraph"/>
              <w:spacing w:before="75"/>
              <w:ind w:right="780"/>
              <w:jc w:val="right"/>
              <w:rPr>
                <w:sz w:val="22"/>
              </w:rPr>
            </w:pPr>
            <w:r>
              <w:rPr>
                <w:sz w:val="22"/>
              </w:rPr>
              <w:t>Moderately</w:t>
            </w:r>
            <w:r>
              <w:rPr>
                <w:spacing w:val="-6"/>
                <w:sz w:val="22"/>
              </w:rPr>
              <w:t> </w:t>
            </w:r>
            <w:r>
              <w:rPr>
                <w:spacing w:val="-2"/>
                <w:sz w:val="22"/>
              </w:rPr>
              <w:t>resistant</w:t>
            </w:r>
          </w:p>
        </w:tc>
      </w:tr>
      <w:tr>
        <w:trPr>
          <w:trHeight w:val="412" w:hRule="atLeast"/>
        </w:trPr>
        <w:tc>
          <w:tcPr>
            <w:tcW w:w="3338" w:type="dxa"/>
          </w:tcPr>
          <w:p>
            <w:pPr>
              <w:pStyle w:val="TableParagraph"/>
              <w:spacing w:before="75"/>
              <w:ind w:left="32" w:right="2"/>
              <w:rPr>
                <w:sz w:val="22"/>
              </w:rPr>
            </w:pPr>
            <w:r>
              <w:rPr>
                <w:spacing w:val="-10"/>
                <w:sz w:val="22"/>
              </w:rPr>
              <w:t>5</w:t>
            </w:r>
          </w:p>
        </w:tc>
        <w:tc>
          <w:tcPr>
            <w:tcW w:w="3048" w:type="dxa"/>
          </w:tcPr>
          <w:p>
            <w:pPr>
              <w:pStyle w:val="TableParagraph"/>
              <w:spacing w:before="75"/>
              <w:ind w:right="1069"/>
              <w:jc w:val="right"/>
              <w:rPr>
                <w:sz w:val="22"/>
              </w:rPr>
            </w:pPr>
            <w:r>
              <w:rPr>
                <w:spacing w:val="-2"/>
                <w:sz w:val="22"/>
              </w:rPr>
              <w:t>21-</w:t>
            </w:r>
            <w:r>
              <w:rPr>
                <w:spacing w:val="-7"/>
                <w:sz w:val="22"/>
              </w:rPr>
              <w:t>30</w:t>
            </w:r>
          </w:p>
        </w:tc>
        <w:tc>
          <w:tcPr>
            <w:tcW w:w="3730" w:type="dxa"/>
          </w:tcPr>
          <w:p>
            <w:pPr>
              <w:pStyle w:val="TableParagraph"/>
              <w:spacing w:before="75"/>
              <w:ind w:right="656"/>
              <w:jc w:val="right"/>
              <w:rPr>
                <w:sz w:val="22"/>
              </w:rPr>
            </w:pPr>
            <w:r>
              <w:rPr>
                <w:sz w:val="22"/>
              </w:rPr>
              <w:t>Moderately</w:t>
            </w:r>
            <w:r>
              <w:rPr>
                <w:spacing w:val="-6"/>
                <w:sz w:val="22"/>
              </w:rPr>
              <w:t> </w:t>
            </w:r>
            <w:r>
              <w:rPr>
                <w:spacing w:val="-2"/>
                <w:sz w:val="22"/>
              </w:rPr>
              <w:t>susceptible</w:t>
            </w:r>
          </w:p>
        </w:tc>
      </w:tr>
      <w:tr>
        <w:trPr>
          <w:trHeight w:val="412" w:hRule="atLeast"/>
        </w:trPr>
        <w:tc>
          <w:tcPr>
            <w:tcW w:w="3338" w:type="dxa"/>
          </w:tcPr>
          <w:p>
            <w:pPr>
              <w:pStyle w:val="TableParagraph"/>
              <w:spacing w:before="75"/>
              <w:ind w:left="32" w:right="2"/>
              <w:rPr>
                <w:sz w:val="22"/>
              </w:rPr>
            </w:pPr>
            <w:r>
              <w:rPr>
                <w:spacing w:val="-10"/>
                <w:sz w:val="22"/>
              </w:rPr>
              <w:t>7</w:t>
            </w:r>
          </w:p>
        </w:tc>
        <w:tc>
          <w:tcPr>
            <w:tcW w:w="3048" w:type="dxa"/>
          </w:tcPr>
          <w:p>
            <w:pPr>
              <w:pStyle w:val="TableParagraph"/>
              <w:spacing w:before="75"/>
              <w:ind w:right="1069"/>
              <w:jc w:val="right"/>
              <w:rPr>
                <w:sz w:val="22"/>
              </w:rPr>
            </w:pPr>
            <w:r>
              <w:rPr>
                <w:spacing w:val="-2"/>
                <w:sz w:val="22"/>
              </w:rPr>
              <w:t>31-</w:t>
            </w:r>
            <w:r>
              <w:rPr>
                <w:spacing w:val="-7"/>
                <w:sz w:val="22"/>
              </w:rPr>
              <w:t>50</w:t>
            </w:r>
          </w:p>
        </w:tc>
        <w:tc>
          <w:tcPr>
            <w:tcW w:w="3730" w:type="dxa"/>
          </w:tcPr>
          <w:p>
            <w:pPr>
              <w:pStyle w:val="TableParagraph"/>
              <w:spacing w:before="75"/>
              <w:ind w:left="1534"/>
              <w:jc w:val="left"/>
              <w:rPr>
                <w:sz w:val="22"/>
              </w:rPr>
            </w:pPr>
            <w:r>
              <w:rPr>
                <w:spacing w:val="-2"/>
                <w:sz w:val="22"/>
              </w:rPr>
              <w:t>Susceptible</w:t>
            </w:r>
          </w:p>
        </w:tc>
      </w:tr>
      <w:tr>
        <w:trPr>
          <w:trHeight w:val="407" w:hRule="atLeast"/>
        </w:trPr>
        <w:tc>
          <w:tcPr>
            <w:tcW w:w="3338" w:type="dxa"/>
            <w:tcBorders>
              <w:bottom w:val="single" w:sz="8" w:space="0" w:color="000000"/>
            </w:tcBorders>
          </w:tcPr>
          <w:p>
            <w:pPr>
              <w:pStyle w:val="TableParagraph"/>
              <w:spacing w:before="75"/>
              <w:ind w:left="32" w:right="2"/>
              <w:rPr>
                <w:sz w:val="22"/>
              </w:rPr>
            </w:pPr>
            <w:r>
              <w:rPr>
                <w:spacing w:val="-10"/>
                <w:sz w:val="22"/>
              </w:rPr>
              <w:t>9</w:t>
            </w:r>
          </w:p>
        </w:tc>
        <w:tc>
          <w:tcPr>
            <w:tcW w:w="3048" w:type="dxa"/>
            <w:tcBorders>
              <w:bottom w:val="single" w:sz="8" w:space="0" w:color="000000"/>
            </w:tcBorders>
          </w:tcPr>
          <w:p>
            <w:pPr>
              <w:pStyle w:val="TableParagraph"/>
              <w:spacing w:before="75"/>
              <w:ind w:right="1014"/>
              <w:jc w:val="right"/>
              <w:rPr>
                <w:sz w:val="22"/>
              </w:rPr>
            </w:pPr>
            <w:r>
              <w:rPr>
                <w:spacing w:val="-2"/>
                <w:sz w:val="22"/>
              </w:rPr>
              <w:t>51-</w:t>
            </w:r>
            <w:r>
              <w:rPr>
                <w:spacing w:val="-5"/>
                <w:sz w:val="22"/>
              </w:rPr>
              <w:t>100</w:t>
            </w:r>
          </w:p>
        </w:tc>
        <w:tc>
          <w:tcPr>
            <w:tcW w:w="3730" w:type="dxa"/>
            <w:tcBorders>
              <w:bottom w:val="single" w:sz="8" w:space="0" w:color="000000"/>
            </w:tcBorders>
          </w:tcPr>
          <w:p>
            <w:pPr>
              <w:pStyle w:val="TableParagraph"/>
              <w:spacing w:before="75"/>
              <w:ind w:left="1218"/>
              <w:jc w:val="left"/>
              <w:rPr>
                <w:sz w:val="22"/>
              </w:rPr>
            </w:pPr>
            <w:r>
              <w:rPr>
                <w:sz w:val="22"/>
              </w:rPr>
              <w:t>Highly</w:t>
            </w:r>
            <w:r>
              <w:rPr>
                <w:spacing w:val="-3"/>
                <w:sz w:val="22"/>
              </w:rPr>
              <w:t> </w:t>
            </w:r>
            <w:r>
              <w:rPr>
                <w:spacing w:val="-2"/>
                <w:sz w:val="22"/>
              </w:rPr>
              <w:t>susceptible</w:t>
            </w:r>
          </w:p>
        </w:tc>
      </w:tr>
    </w:tbl>
    <w:p>
      <w:pPr>
        <w:pStyle w:val="BodyText"/>
        <w:spacing w:before="43"/>
        <w:ind w:left="0"/>
        <w:rPr>
          <w:b/>
          <w:sz w:val="20"/>
        </w:rPr>
      </w:pPr>
    </w:p>
    <w:p>
      <w:pPr>
        <w:pStyle w:val="BodyText"/>
        <w:spacing w:after="0"/>
        <w:rPr>
          <w:b/>
          <w:sz w:val="20"/>
        </w:rPr>
        <w:sectPr>
          <w:headerReference w:type="even" r:id="rId10"/>
          <w:headerReference w:type="default" r:id="rId11"/>
          <w:pgSz w:w="12480" w:h="15880"/>
          <w:pgMar w:header="949" w:footer="0" w:top="1180" w:bottom="1180" w:left="1133" w:right="1133"/>
        </w:sectPr>
      </w:pPr>
    </w:p>
    <w:p>
      <w:pPr>
        <w:pStyle w:val="BodyText"/>
        <w:spacing w:line="249" w:lineRule="auto" w:before="90"/>
        <w:jc w:val="both"/>
      </w:pPr>
      <w:r>
        <w:rPr>
          <w:color w:val="231F20"/>
        </w:rPr>
        <w:t>5.7</w:t>
      </w:r>
      <w:r>
        <w:rPr>
          <w:color w:val="231F20"/>
          <w:spacing w:val="-14"/>
        </w:rPr>
        <w:t> </w:t>
      </w:r>
      <w:r>
        <w:rPr>
          <w:color w:val="231F20"/>
        </w:rPr>
        <w:t>to</w:t>
      </w:r>
      <w:r>
        <w:rPr>
          <w:color w:val="231F20"/>
          <w:spacing w:val="-14"/>
        </w:rPr>
        <w:t> </w:t>
      </w:r>
      <w:r>
        <w:rPr>
          <w:color w:val="231F20"/>
        </w:rPr>
        <w:t>59.8</w:t>
      </w:r>
      <w:r>
        <w:rPr>
          <w:color w:val="231F20"/>
          <w:spacing w:val="-14"/>
        </w:rPr>
        <w:t> </w:t>
      </w:r>
      <w:r>
        <w:rPr>
          <w:color w:val="231F20"/>
        </w:rPr>
        <w:t>per</w:t>
      </w:r>
      <w:r>
        <w:rPr>
          <w:color w:val="231F20"/>
          <w:spacing w:val="-13"/>
        </w:rPr>
        <w:t> </w:t>
      </w:r>
      <w:r>
        <w:rPr>
          <w:color w:val="231F20"/>
        </w:rPr>
        <w:t>cent</w:t>
      </w:r>
      <w:r>
        <w:rPr>
          <w:color w:val="231F20"/>
          <w:spacing w:val="-14"/>
        </w:rPr>
        <w:t> </w:t>
      </w:r>
      <w:r>
        <w:rPr>
          <w:color w:val="231F20"/>
        </w:rPr>
        <w:t>(Table</w:t>
      </w:r>
      <w:r>
        <w:rPr>
          <w:color w:val="231F20"/>
          <w:spacing w:val="-14"/>
        </w:rPr>
        <w:t> </w:t>
      </w:r>
      <w:r>
        <w:rPr>
          <w:color w:val="231F20"/>
        </w:rPr>
        <w:t>2).</w:t>
      </w:r>
      <w:r>
        <w:rPr>
          <w:color w:val="231F20"/>
          <w:spacing w:val="-14"/>
        </w:rPr>
        <w:t> </w:t>
      </w:r>
      <w:r>
        <w:rPr>
          <w:color w:val="231F20"/>
        </w:rPr>
        <w:t>The</w:t>
      </w:r>
      <w:r>
        <w:rPr>
          <w:color w:val="231F20"/>
          <w:spacing w:val="-13"/>
        </w:rPr>
        <w:t> </w:t>
      </w:r>
      <w:r>
        <w:rPr>
          <w:color w:val="231F20"/>
        </w:rPr>
        <w:t>least</w:t>
      </w:r>
      <w:r>
        <w:rPr>
          <w:color w:val="231F20"/>
          <w:spacing w:val="-14"/>
        </w:rPr>
        <w:t> </w:t>
      </w:r>
      <w:r>
        <w:rPr>
          <w:color w:val="231F20"/>
        </w:rPr>
        <w:t>disease</w:t>
      </w:r>
      <w:r>
        <w:rPr>
          <w:color w:val="231F20"/>
          <w:spacing w:val="-14"/>
        </w:rPr>
        <w:t> </w:t>
      </w:r>
      <w:r>
        <w:rPr>
          <w:color w:val="231F20"/>
        </w:rPr>
        <w:t>incidence was observed in genotype VSP-16 with 5.7 per </w:t>
      </w:r>
      <w:r>
        <w:rPr>
          <w:color w:val="231F20"/>
        </w:rPr>
        <w:t>cent, followed</w:t>
      </w:r>
      <w:r>
        <w:rPr>
          <w:color w:val="231F20"/>
          <w:spacing w:val="-5"/>
        </w:rPr>
        <w:t> </w:t>
      </w:r>
      <w:r>
        <w:rPr>
          <w:color w:val="231F20"/>
        </w:rPr>
        <w:t>by</w:t>
      </w:r>
      <w:r>
        <w:rPr>
          <w:color w:val="231F20"/>
          <w:spacing w:val="-3"/>
        </w:rPr>
        <w:t> </w:t>
      </w:r>
      <w:r>
        <w:rPr>
          <w:color w:val="231F20"/>
        </w:rPr>
        <w:t>genotypes</w:t>
      </w:r>
      <w:r>
        <w:rPr>
          <w:color w:val="231F20"/>
          <w:spacing w:val="-8"/>
        </w:rPr>
        <w:t> </w:t>
      </w:r>
      <w:r>
        <w:rPr>
          <w:color w:val="231F20"/>
        </w:rPr>
        <w:t>TPTS-40</w:t>
      </w:r>
      <w:r>
        <w:rPr>
          <w:color w:val="231F20"/>
          <w:spacing w:val="-3"/>
        </w:rPr>
        <w:t> </w:t>
      </w:r>
      <w:r>
        <w:rPr>
          <w:color w:val="231F20"/>
        </w:rPr>
        <w:t>(6.6</w:t>
      </w:r>
      <w:r>
        <w:rPr>
          <w:color w:val="231F20"/>
          <w:spacing w:val="-3"/>
        </w:rPr>
        <w:t> </w:t>
      </w:r>
      <w:r>
        <w:rPr>
          <w:color w:val="231F20"/>
        </w:rPr>
        <w:t>%),</w:t>
      </w:r>
      <w:r>
        <w:rPr>
          <w:color w:val="231F20"/>
          <w:spacing w:val="-12"/>
        </w:rPr>
        <w:t> </w:t>
      </w:r>
      <w:r>
        <w:rPr>
          <w:color w:val="231F20"/>
        </w:rPr>
        <w:t>YLM-161</w:t>
      </w:r>
      <w:r>
        <w:rPr>
          <w:color w:val="231F20"/>
          <w:spacing w:val="-3"/>
        </w:rPr>
        <w:t> </w:t>
      </w:r>
      <w:r>
        <w:rPr>
          <w:color w:val="231F20"/>
          <w:spacing w:val="-4"/>
        </w:rPr>
        <w:t>(8.6</w:t>
      </w:r>
    </w:p>
    <w:p>
      <w:pPr>
        <w:pStyle w:val="BodyText"/>
        <w:spacing w:line="249" w:lineRule="auto" w:before="3"/>
        <w:jc w:val="both"/>
      </w:pPr>
      <w:r>
        <w:rPr>
          <w:color w:val="231F20"/>
        </w:rPr>
        <w:t>%),</w:t>
      </w:r>
      <w:r>
        <w:rPr>
          <w:color w:val="231F20"/>
          <w:spacing w:val="-14"/>
        </w:rPr>
        <w:t> </w:t>
      </w:r>
      <w:r>
        <w:rPr>
          <w:color w:val="231F20"/>
        </w:rPr>
        <w:t>Nirmala</w:t>
      </w:r>
      <w:r>
        <w:rPr>
          <w:color w:val="231F20"/>
          <w:spacing w:val="-14"/>
        </w:rPr>
        <w:t> </w:t>
      </w:r>
      <w:r>
        <w:rPr>
          <w:color w:val="231F20"/>
        </w:rPr>
        <w:t>(8.9</w:t>
      </w:r>
      <w:r>
        <w:rPr>
          <w:color w:val="231F20"/>
          <w:spacing w:val="-14"/>
        </w:rPr>
        <w:t> </w:t>
      </w:r>
      <w:r>
        <w:rPr>
          <w:color w:val="231F20"/>
        </w:rPr>
        <w:t>%)</w:t>
      </w:r>
      <w:r>
        <w:rPr>
          <w:color w:val="231F20"/>
          <w:spacing w:val="-13"/>
        </w:rPr>
        <w:t> </w:t>
      </w:r>
      <w:r>
        <w:rPr>
          <w:color w:val="231F20"/>
        </w:rPr>
        <w:t>and</w:t>
      </w:r>
      <w:r>
        <w:rPr>
          <w:color w:val="231F20"/>
          <w:spacing w:val="-14"/>
        </w:rPr>
        <w:t> </w:t>
      </w:r>
      <w:r>
        <w:rPr>
          <w:color w:val="231F20"/>
        </w:rPr>
        <w:t>VS-16-009</w:t>
      </w:r>
      <w:r>
        <w:rPr>
          <w:color w:val="231F20"/>
          <w:spacing w:val="-14"/>
        </w:rPr>
        <w:t> </w:t>
      </w:r>
      <w:r>
        <w:rPr>
          <w:color w:val="231F20"/>
        </w:rPr>
        <w:t>(9.5</w:t>
      </w:r>
      <w:r>
        <w:rPr>
          <w:color w:val="231F20"/>
          <w:spacing w:val="-14"/>
        </w:rPr>
        <w:t> </w:t>
      </w:r>
      <w:r>
        <w:rPr>
          <w:color w:val="231F20"/>
        </w:rPr>
        <w:t>%).</w:t>
      </w:r>
      <w:r>
        <w:rPr>
          <w:color w:val="231F20"/>
          <w:spacing w:val="-13"/>
        </w:rPr>
        <w:t> </w:t>
      </w:r>
      <w:r>
        <w:rPr>
          <w:color w:val="231F20"/>
        </w:rPr>
        <w:t>The</w:t>
      </w:r>
      <w:r>
        <w:rPr>
          <w:color w:val="231F20"/>
          <w:spacing w:val="-14"/>
        </w:rPr>
        <w:t> </w:t>
      </w:r>
      <w:r>
        <w:rPr>
          <w:color w:val="231F20"/>
        </w:rPr>
        <w:t>highest disease incidence was observed in genotype RMT-130 with</w:t>
      </w:r>
      <w:r>
        <w:rPr>
          <w:color w:val="231F20"/>
          <w:spacing w:val="8"/>
        </w:rPr>
        <w:t> </w:t>
      </w:r>
      <w:r>
        <w:rPr>
          <w:color w:val="231F20"/>
        </w:rPr>
        <w:t>59.8</w:t>
      </w:r>
      <w:r>
        <w:rPr>
          <w:color w:val="231F20"/>
          <w:spacing w:val="8"/>
        </w:rPr>
        <w:t> </w:t>
      </w:r>
      <w:r>
        <w:rPr>
          <w:color w:val="231F20"/>
        </w:rPr>
        <w:t>%</w:t>
      </w:r>
      <w:r>
        <w:rPr>
          <w:color w:val="231F20"/>
          <w:spacing w:val="9"/>
        </w:rPr>
        <w:t> </w:t>
      </w:r>
      <w:r>
        <w:rPr>
          <w:color w:val="231F20"/>
        </w:rPr>
        <w:t>followed</w:t>
      </w:r>
      <w:r>
        <w:rPr>
          <w:color w:val="231F20"/>
          <w:spacing w:val="8"/>
        </w:rPr>
        <w:t> </w:t>
      </w:r>
      <w:r>
        <w:rPr>
          <w:color w:val="231F20"/>
        </w:rPr>
        <w:t>by</w:t>
      </w:r>
      <w:r>
        <w:rPr>
          <w:color w:val="231F20"/>
          <w:spacing w:val="8"/>
        </w:rPr>
        <w:t> </w:t>
      </w:r>
      <w:r>
        <w:rPr>
          <w:color w:val="231F20"/>
        </w:rPr>
        <w:t>RMT-175</w:t>
      </w:r>
      <w:r>
        <w:rPr>
          <w:color w:val="231F20"/>
          <w:spacing w:val="9"/>
        </w:rPr>
        <w:t> </w:t>
      </w:r>
      <w:r>
        <w:rPr>
          <w:color w:val="231F20"/>
        </w:rPr>
        <w:t>(58.5),</w:t>
      </w:r>
      <w:r>
        <w:rPr>
          <w:color w:val="231F20"/>
          <w:spacing w:val="8"/>
        </w:rPr>
        <w:t> </w:t>
      </w:r>
      <w:r>
        <w:rPr>
          <w:color w:val="231F20"/>
        </w:rPr>
        <w:t>Gowri</w:t>
      </w:r>
      <w:r>
        <w:rPr>
          <w:color w:val="231F20"/>
          <w:spacing w:val="9"/>
        </w:rPr>
        <w:t> </w:t>
      </w:r>
      <w:r>
        <w:rPr>
          <w:color w:val="231F20"/>
          <w:spacing w:val="-4"/>
        </w:rPr>
        <w:t>(51.3</w:t>
      </w:r>
    </w:p>
    <w:p>
      <w:pPr>
        <w:pStyle w:val="BodyText"/>
        <w:spacing w:before="3"/>
        <w:jc w:val="both"/>
      </w:pPr>
      <w:r>
        <w:rPr>
          <w:color w:val="231F20"/>
        </w:rPr>
        <w:t>%),</w:t>
      </w:r>
      <w:r>
        <w:rPr>
          <w:color w:val="231F20"/>
          <w:spacing w:val="35"/>
        </w:rPr>
        <w:t> </w:t>
      </w:r>
      <w:r>
        <w:rPr>
          <w:color w:val="231F20"/>
        </w:rPr>
        <w:t>TPTS-01</w:t>
      </w:r>
      <w:r>
        <w:rPr>
          <w:color w:val="231F20"/>
          <w:spacing w:val="39"/>
        </w:rPr>
        <w:t> </w:t>
      </w:r>
      <w:r>
        <w:rPr>
          <w:color w:val="231F20"/>
        </w:rPr>
        <w:t>(50.4)</w:t>
      </w:r>
      <w:r>
        <w:rPr>
          <w:color w:val="231F20"/>
          <w:spacing w:val="39"/>
        </w:rPr>
        <w:t> </w:t>
      </w:r>
      <w:r>
        <w:rPr>
          <w:color w:val="231F20"/>
        </w:rPr>
        <w:t>and</w:t>
      </w:r>
      <w:r>
        <w:rPr>
          <w:color w:val="231F20"/>
          <w:spacing w:val="39"/>
        </w:rPr>
        <w:t> </w:t>
      </w:r>
      <w:r>
        <w:rPr>
          <w:color w:val="231F20"/>
        </w:rPr>
        <w:t>SKL-2</w:t>
      </w:r>
      <w:r>
        <w:rPr>
          <w:color w:val="231F20"/>
          <w:spacing w:val="39"/>
        </w:rPr>
        <w:t> </w:t>
      </w:r>
      <w:r>
        <w:rPr>
          <w:color w:val="231F20"/>
        </w:rPr>
        <w:t>(44.2</w:t>
      </w:r>
      <w:r>
        <w:rPr>
          <w:color w:val="231F20"/>
          <w:spacing w:val="39"/>
        </w:rPr>
        <w:t> </w:t>
      </w:r>
      <w:r>
        <w:rPr>
          <w:color w:val="231F20"/>
        </w:rPr>
        <w:t>%).</w:t>
      </w:r>
      <w:r>
        <w:rPr>
          <w:color w:val="231F20"/>
          <w:spacing w:val="39"/>
        </w:rPr>
        <w:t> </w:t>
      </w:r>
      <w:r>
        <w:rPr>
          <w:color w:val="231F20"/>
          <w:spacing w:val="-2"/>
        </w:rPr>
        <w:t>Remaining</w:t>
      </w:r>
    </w:p>
    <w:p>
      <w:pPr>
        <w:pStyle w:val="BodyText"/>
        <w:spacing w:before="11"/>
        <w:jc w:val="both"/>
      </w:pPr>
      <w:r>
        <w:rPr>
          <w:color w:val="231F20"/>
        </w:rPr>
        <w:t>genotypes</w:t>
      </w:r>
      <w:r>
        <w:rPr>
          <w:color w:val="231F20"/>
          <w:spacing w:val="16"/>
        </w:rPr>
        <w:t> </w:t>
      </w:r>
      <w:r>
        <w:rPr>
          <w:color w:val="231F20"/>
        </w:rPr>
        <w:t>(48)</w:t>
      </w:r>
      <w:r>
        <w:rPr>
          <w:color w:val="231F20"/>
          <w:spacing w:val="19"/>
        </w:rPr>
        <w:t> </w:t>
      </w:r>
      <w:r>
        <w:rPr>
          <w:color w:val="231F20"/>
        </w:rPr>
        <w:t>showed</w:t>
      </w:r>
      <w:r>
        <w:rPr>
          <w:color w:val="231F20"/>
          <w:spacing w:val="19"/>
        </w:rPr>
        <w:t> </w:t>
      </w:r>
      <w:r>
        <w:rPr>
          <w:color w:val="231F20"/>
        </w:rPr>
        <w:t>disease</w:t>
      </w:r>
      <w:r>
        <w:rPr>
          <w:color w:val="231F20"/>
          <w:spacing w:val="18"/>
        </w:rPr>
        <w:t> </w:t>
      </w:r>
      <w:r>
        <w:rPr>
          <w:color w:val="231F20"/>
        </w:rPr>
        <w:t>incidence</w:t>
      </w:r>
      <w:r>
        <w:rPr>
          <w:color w:val="231F20"/>
          <w:spacing w:val="18"/>
        </w:rPr>
        <w:t> </w:t>
      </w:r>
      <w:r>
        <w:rPr>
          <w:color w:val="231F20"/>
        </w:rPr>
        <w:t>ranging</w:t>
      </w:r>
      <w:r>
        <w:rPr>
          <w:color w:val="231F20"/>
          <w:spacing w:val="19"/>
        </w:rPr>
        <w:t> </w:t>
      </w:r>
      <w:r>
        <w:rPr>
          <w:color w:val="231F20"/>
          <w:spacing w:val="-4"/>
        </w:rPr>
        <w:t>from</w:t>
      </w:r>
    </w:p>
    <w:p>
      <w:pPr>
        <w:pStyle w:val="BodyText"/>
        <w:spacing w:before="11"/>
        <w:jc w:val="both"/>
      </w:pPr>
      <w:r>
        <w:rPr>
          <w:color w:val="231F20"/>
        </w:rPr>
        <w:t>9.6 to 43.4 per </w:t>
      </w:r>
      <w:r>
        <w:rPr>
          <w:color w:val="231F20"/>
          <w:spacing w:val="-2"/>
        </w:rPr>
        <w:t>cent.</w:t>
      </w:r>
    </w:p>
    <w:p>
      <w:pPr>
        <w:pStyle w:val="BodyText"/>
        <w:spacing w:line="249" w:lineRule="auto" w:before="126"/>
        <w:ind w:firstLine="432"/>
        <w:jc w:val="both"/>
      </w:pPr>
      <w:r>
        <w:rPr>
          <w:color w:val="231F20"/>
        </w:rPr>
        <w:t>Based on the per cent disease incidence, out of </w:t>
      </w:r>
      <w:r>
        <w:rPr>
          <w:color w:val="231F20"/>
        </w:rPr>
        <w:t>58 genotypes screened, 8 genotypes (YLM-161, TPTS-40, Madhavi,</w:t>
      </w:r>
      <w:r>
        <w:rPr>
          <w:color w:val="231F20"/>
          <w:spacing w:val="76"/>
        </w:rPr>
        <w:t> </w:t>
      </w:r>
      <w:r>
        <w:rPr>
          <w:color w:val="231F20"/>
        </w:rPr>
        <w:t>VS-16-009,</w:t>
      </w:r>
      <w:r>
        <w:rPr>
          <w:color w:val="231F20"/>
          <w:spacing w:val="76"/>
        </w:rPr>
        <w:t> </w:t>
      </w:r>
      <w:r>
        <w:rPr>
          <w:color w:val="231F20"/>
        </w:rPr>
        <w:t>VS-20-008,</w:t>
      </w:r>
      <w:r>
        <w:rPr>
          <w:color w:val="231F20"/>
          <w:spacing w:val="76"/>
        </w:rPr>
        <w:t> </w:t>
      </w:r>
      <w:r>
        <w:rPr>
          <w:color w:val="231F20"/>
        </w:rPr>
        <w:t>VSP-16,</w:t>
      </w:r>
      <w:r>
        <w:rPr>
          <w:color w:val="231F20"/>
          <w:spacing w:val="52"/>
          <w:w w:val="150"/>
        </w:rPr>
        <w:t> </w:t>
      </w:r>
      <w:r>
        <w:rPr>
          <w:color w:val="231F20"/>
          <w:spacing w:val="-2"/>
        </w:rPr>
        <w:t>Nirmala,</w:t>
      </w:r>
    </w:p>
    <w:p>
      <w:pPr>
        <w:pStyle w:val="BodyText"/>
        <w:spacing w:line="249" w:lineRule="auto" w:before="3"/>
        <w:jc w:val="both"/>
      </w:pPr>
      <w:r>
        <w:rPr>
          <w:color w:val="231F20"/>
        </w:rPr>
        <w:t>GT-10) were found to be resistant (R) with &gt;10 </w:t>
      </w:r>
      <w:r>
        <w:rPr>
          <w:color w:val="231F20"/>
        </w:rPr>
        <w:t>per</w:t>
      </w:r>
      <w:r>
        <w:rPr>
          <w:color w:val="231F20"/>
          <w:spacing w:val="80"/>
        </w:rPr>
        <w:t> </w:t>
      </w:r>
      <w:r>
        <w:rPr>
          <w:color w:val="231F20"/>
        </w:rPr>
        <w:t>cent disease incidence, 17 genotypes (YLM-11, YLM- 17, TPTS-29, Hima, VS-19-045, RMT-204, VSP-5,</w:t>
      </w:r>
      <w:r>
        <w:rPr>
          <w:color w:val="231F20"/>
          <w:spacing w:val="80"/>
          <w:w w:val="150"/>
        </w:rPr>
        <w:t> </w:t>
      </w:r>
      <w:r>
        <w:rPr>
          <w:color w:val="231F20"/>
        </w:rPr>
        <w:t>IC-204159, IC-326984, IIOS-3101, PCU-39, AT-324, PT-10,</w:t>
      </w:r>
      <w:r>
        <w:rPr>
          <w:color w:val="231F20"/>
          <w:spacing w:val="16"/>
        </w:rPr>
        <w:t> </w:t>
      </w:r>
      <w:r>
        <w:rPr>
          <w:color w:val="231F20"/>
        </w:rPr>
        <w:t>SVT-451,</w:t>
      </w:r>
      <w:r>
        <w:rPr>
          <w:color w:val="231F20"/>
          <w:spacing w:val="13"/>
        </w:rPr>
        <w:t> </w:t>
      </w:r>
      <w:r>
        <w:rPr>
          <w:color w:val="231F20"/>
        </w:rPr>
        <w:t>TKG-22,</w:t>
      </w:r>
      <w:r>
        <w:rPr>
          <w:color w:val="231F20"/>
          <w:spacing w:val="13"/>
        </w:rPr>
        <w:t> </w:t>
      </w:r>
      <w:r>
        <w:rPr>
          <w:color w:val="231F20"/>
        </w:rPr>
        <w:t>VZM-2,</w:t>
      </w:r>
      <w:r>
        <w:rPr>
          <w:color w:val="231F20"/>
          <w:spacing w:val="16"/>
        </w:rPr>
        <w:t> </w:t>
      </w:r>
      <w:r>
        <w:rPr>
          <w:color w:val="231F20"/>
        </w:rPr>
        <w:t>CUMS-19-4)</w:t>
      </w:r>
      <w:r>
        <w:rPr>
          <w:color w:val="231F20"/>
          <w:spacing w:val="17"/>
        </w:rPr>
        <w:t> </w:t>
      </w:r>
      <w:r>
        <w:rPr>
          <w:color w:val="231F20"/>
          <w:spacing w:val="-4"/>
        </w:rPr>
        <w:t>were</w:t>
      </w:r>
    </w:p>
    <w:p>
      <w:pPr>
        <w:pStyle w:val="BodyText"/>
        <w:spacing w:line="249" w:lineRule="auto" w:before="4"/>
        <w:jc w:val="both"/>
      </w:pPr>
      <w:r>
        <w:rPr>
          <w:color w:val="231F20"/>
        </w:rPr>
        <w:t>found moderately resistant with 11-20 per cent </w:t>
      </w:r>
      <w:r>
        <w:rPr>
          <w:color w:val="231F20"/>
        </w:rPr>
        <w:t>disease incidence, 16 genotypes (YLM-171, TPTS-06, TPTS- 21,</w:t>
      </w:r>
      <w:r>
        <w:rPr>
          <w:color w:val="231F20"/>
          <w:spacing w:val="63"/>
        </w:rPr>
        <w:t> </w:t>
      </w:r>
      <w:r>
        <w:rPr>
          <w:color w:val="231F20"/>
        </w:rPr>
        <w:t>VS-18-005,</w:t>
      </w:r>
      <w:r>
        <w:rPr>
          <w:color w:val="231F20"/>
          <w:spacing w:val="66"/>
        </w:rPr>
        <w:t> </w:t>
      </w:r>
      <w:r>
        <w:rPr>
          <w:color w:val="231F20"/>
        </w:rPr>
        <w:t>VS-20-001,</w:t>
      </w:r>
      <w:r>
        <w:rPr>
          <w:color w:val="231F20"/>
          <w:spacing w:val="70"/>
        </w:rPr>
        <w:t> </w:t>
      </w:r>
      <w:r>
        <w:rPr>
          <w:color w:val="231F20"/>
        </w:rPr>
        <w:t>RMT-176,</w:t>
      </w:r>
      <w:r>
        <w:rPr>
          <w:color w:val="231F20"/>
          <w:spacing w:val="66"/>
        </w:rPr>
        <w:t> </w:t>
      </w:r>
      <w:r>
        <w:rPr>
          <w:color w:val="231F20"/>
        </w:rPr>
        <w:t>VSP-6,</w:t>
      </w:r>
      <w:r>
        <w:rPr>
          <w:color w:val="231F20"/>
          <w:spacing w:val="70"/>
        </w:rPr>
        <w:t> </w:t>
      </w:r>
      <w:r>
        <w:rPr>
          <w:color w:val="231F20"/>
          <w:spacing w:val="-4"/>
        </w:rPr>
        <w:t>JCS-</w:t>
      </w:r>
    </w:p>
    <w:p>
      <w:pPr>
        <w:pStyle w:val="BodyText"/>
        <w:spacing w:before="3"/>
        <w:jc w:val="both"/>
      </w:pPr>
      <w:r>
        <w:rPr>
          <w:color w:val="231F20"/>
          <w:spacing w:val="-2"/>
        </w:rPr>
        <w:t>1020,</w:t>
      </w:r>
      <w:r>
        <w:rPr>
          <w:color w:val="231F20"/>
          <w:spacing w:val="-8"/>
        </w:rPr>
        <w:t> </w:t>
      </w:r>
      <w:r>
        <w:rPr>
          <w:color w:val="231F20"/>
          <w:spacing w:val="-2"/>
        </w:rPr>
        <w:t>JCS-3593,</w:t>
      </w:r>
      <w:r>
        <w:rPr>
          <w:color w:val="231F20"/>
          <w:spacing w:val="-8"/>
        </w:rPr>
        <w:t> </w:t>
      </w:r>
      <w:r>
        <w:rPr>
          <w:color w:val="231F20"/>
          <w:spacing w:val="-2"/>
        </w:rPr>
        <w:t>IC-204830,</w:t>
      </w:r>
      <w:r>
        <w:rPr>
          <w:color w:val="231F20"/>
          <w:spacing w:val="-8"/>
        </w:rPr>
        <w:t> </w:t>
      </w:r>
      <w:r>
        <w:rPr>
          <w:color w:val="231F20"/>
          <w:spacing w:val="-2"/>
        </w:rPr>
        <w:t>IC-326984,</w:t>
      </w:r>
      <w:r>
        <w:rPr>
          <w:color w:val="231F20"/>
          <w:spacing w:val="-8"/>
        </w:rPr>
        <w:t> </w:t>
      </w:r>
      <w:r>
        <w:rPr>
          <w:color w:val="231F20"/>
          <w:spacing w:val="-2"/>
        </w:rPr>
        <w:t>RT-54,</w:t>
      </w:r>
      <w:r>
        <w:rPr>
          <w:color w:val="231F20"/>
          <w:spacing w:val="-7"/>
        </w:rPr>
        <w:t> </w:t>
      </w:r>
      <w:r>
        <w:rPr>
          <w:color w:val="231F20"/>
          <w:spacing w:val="-2"/>
        </w:rPr>
        <w:t>RT-</w:t>
      </w:r>
      <w:r>
        <w:rPr>
          <w:color w:val="231F20"/>
          <w:spacing w:val="-4"/>
        </w:rPr>
        <w:t>204,</w:t>
      </w:r>
    </w:p>
    <w:p>
      <w:pPr>
        <w:pStyle w:val="BodyText"/>
        <w:spacing w:line="249" w:lineRule="auto" w:before="11"/>
        <w:jc w:val="both"/>
      </w:pPr>
      <w:r>
        <w:rPr>
          <w:color w:val="231F20"/>
        </w:rPr>
        <w:t>SKL-3, PCU-35, MT-2019-11) were found </w:t>
      </w:r>
      <w:r>
        <w:rPr>
          <w:color w:val="231F20"/>
        </w:rPr>
        <w:t>moderately susceptible with 21-30 percent disease incidence, 12 genotypes (YLM-165, TPTS-18, TPTS-24, TPTS-45, TPTS-46,</w:t>
      </w:r>
      <w:r>
        <w:rPr>
          <w:color w:val="231F20"/>
          <w:spacing w:val="45"/>
        </w:rPr>
        <w:t> </w:t>
      </w:r>
      <w:r>
        <w:rPr>
          <w:color w:val="231F20"/>
        </w:rPr>
        <w:t>Swetha,</w:t>
      </w:r>
      <w:r>
        <w:rPr>
          <w:color w:val="231F20"/>
          <w:spacing w:val="45"/>
        </w:rPr>
        <w:t> </w:t>
      </w:r>
      <w:r>
        <w:rPr>
          <w:color w:val="231F20"/>
        </w:rPr>
        <w:t>Chandna,</w:t>
      </w:r>
      <w:r>
        <w:rPr>
          <w:color w:val="231F20"/>
          <w:spacing w:val="45"/>
        </w:rPr>
        <w:t> </w:t>
      </w:r>
      <w:r>
        <w:rPr>
          <w:color w:val="231F20"/>
        </w:rPr>
        <w:t>JCS-706,</w:t>
      </w:r>
      <w:r>
        <w:rPr>
          <w:color w:val="231F20"/>
          <w:spacing w:val="45"/>
        </w:rPr>
        <w:t> </w:t>
      </w:r>
      <w:r>
        <w:rPr>
          <w:color w:val="231F20"/>
        </w:rPr>
        <w:t>JCS-2454,</w:t>
      </w:r>
      <w:r>
        <w:rPr>
          <w:color w:val="231F20"/>
          <w:spacing w:val="45"/>
        </w:rPr>
        <w:t> </w:t>
      </w:r>
      <w:r>
        <w:rPr>
          <w:color w:val="231F20"/>
          <w:spacing w:val="-15"/>
        </w:rPr>
        <w:t>RT-</w:t>
      </w:r>
    </w:p>
    <w:p>
      <w:pPr>
        <w:pStyle w:val="BodyText"/>
        <w:spacing w:line="249" w:lineRule="auto" w:before="4"/>
        <w:jc w:val="both"/>
      </w:pPr>
      <w:r>
        <w:rPr>
          <w:color w:val="231F20"/>
        </w:rPr>
        <w:t>68, SKL-2, DS-56) showed susceptible reaction </w:t>
      </w:r>
      <w:r>
        <w:rPr>
          <w:color w:val="231F20"/>
        </w:rPr>
        <w:t>with 31-50</w:t>
      </w:r>
      <w:r>
        <w:rPr>
          <w:color w:val="231F20"/>
          <w:spacing w:val="-12"/>
        </w:rPr>
        <w:t> </w:t>
      </w:r>
      <w:r>
        <w:rPr>
          <w:color w:val="231F20"/>
        </w:rPr>
        <w:t>percent</w:t>
      </w:r>
      <w:r>
        <w:rPr>
          <w:color w:val="231F20"/>
          <w:spacing w:val="-12"/>
        </w:rPr>
        <w:t> </w:t>
      </w:r>
      <w:r>
        <w:rPr>
          <w:color w:val="231F20"/>
        </w:rPr>
        <w:t>disease</w:t>
      </w:r>
      <w:r>
        <w:rPr>
          <w:color w:val="231F20"/>
          <w:spacing w:val="-12"/>
        </w:rPr>
        <w:t> </w:t>
      </w:r>
      <w:r>
        <w:rPr>
          <w:color w:val="231F20"/>
        </w:rPr>
        <w:t>incidence</w:t>
      </w:r>
      <w:r>
        <w:rPr>
          <w:color w:val="231F20"/>
          <w:spacing w:val="-12"/>
        </w:rPr>
        <w:t> </w:t>
      </w:r>
      <w:r>
        <w:rPr>
          <w:color w:val="231F20"/>
        </w:rPr>
        <w:t>and</w:t>
      </w:r>
      <w:r>
        <w:rPr>
          <w:color w:val="231F20"/>
          <w:spacing w:val="-12"/>
        </w:rPr>
        <w:t> </w:t>
      </w:r>
      <w:r>
        <w:rPr>
          <w:color w:val="231F20"/>
        </w:rPr>
        <w:t>5</w:t>
      </w:r>
      <w:r>
        <w:rPr>
          <w:color w:val="231F20"/>
          <w:spacing w:val="-12"/>
        </w:rPr>
        <w:t> </w:t>
      </w:r>
      <w:r>
        <w:rPr>
          <w:color w:val="231F20"/>
        </w:rPr>
        <w:t>genotypes</w:t>
      </w:r>
      <w:r>
        <w:rPr>
          <w:color w:val="231F20"/>
          <w:spacing w:val="-12"/>
        </w:rPr>
        <w:t> </w:t>
      </w:r>
      <w:r>
        <w:rPr>
          <w:color w:val="231F20"/>
        </w:rPr>
        <w:t>(TPTS- 01,</w:t>
      </w:r>
      <w:r>
        <w:rPr>
          <w:color w:val="231F20"/>
          <w:spacing w:val="-11"/>
        </w:rPr>
        <w:t> </w:t>
      </w:r>
      <w:r>
        <w:rPr>
          <w:color w:val="231F20"/>
        </w:rPr>
        <w:t>Gowri,</w:t>
      </w:r>
      <w:r>
        <w:rPr>
          <w:color w:val="231F20"/>
          <w:spacing w:val="-11"/>
        </w:rPr>
        <w:t> </w:t>
      </w:r>
      <w:r>
        <w:rPr>
          <w:color w:val="231F20"/>
        </w:rPr>
        <w:t>RMT-130,</w:t>
      </w:r>
      <w:r>
        <w:rPr>
          <w:color w:val="231F20"/>
          <w:spacing w:val="-11"/>
        </w:rPr>
        <w:t> </w:t>
      </w:r>
      <w:r>
        <w:rPr>
          <w:color w:val="231F20"/>
        </w:rPr>
        <w:t>RMT-175,</w:t>
      </w:r>
      <w:r>
        <w:rPr>
          <w:color w:val="231F20"/>
          <w:spacing w:val="-11"/>
        </w:rPr>
        <w:t> </w:t>
      </w:r>
      <w:r>
        <w:rPr>
          <w:color w:val="231F20"/>
        </w:rPr>
        <w:t>RMT-253)</w:t>
      </w:r>
      <w:r>
        <w:rPr>
          <w:color w:val="231F20"/>
          <w:spacing w:val="-11"/>
        </w:rPr>
        <w:t> </w:t>
      </w:r>
      <w:r>
        <w:rPr>
          <w:color w:val="231F20"/>
        </w:rPr>
        <w:t>were</w:t>
      </w:r>
      <w:r>
        <w:rPr>
          <w:color w:val="231F20"/>
          <w:spacing w:val="-11"/>
        </w:rPr>
        <w:t> </w:t>
      </w:r>
      <w:r>
        <w:rPr>
          <w:color w:val="231F20"/>
        </w:rPr>
        <w:t>found to be highly susceptible with disease incidence of more than 51 per cent (Table 3).</w:t>
      </w:r>
    </w:p>
    <w:p>
      <w:pPr>
        <w:pStyle w:val="BodyText"/>
        <w:spacing w:line="249" w:lineRule="auto" w:before="119"/>
        <w:ind w:firstLine="432"/>
        <w:jc w:val="both"/>
      </w:pPr>
      <w:r>
        <w:rPr>
          <w:color w:val="231F20"/>
        </w:rPr>
        <w:t>Similarly,</w:t>
      </w:r>
      <w:r>
        <w:rPr>
          <w:color w:val="231F20"/>
          <w:spacing w:val="-7"/>
        </w:rPr>
        <w:t> </w:t>
      </w:r>
      <w:r>
        <w:rPr>
          <w:color w:val="231F20"/>
        </w:rPr>
        <w:t>the</w:t>
      </w:r>
      <w:r>
        <w:rPr>
          <w:color w:val="231F20"/>
          <w:spacing w:val="-7"/>
        </w:rPr>
        <w:t> </w:t>
      </w:r>
      <w:r>
        <w:rPr>
          <w:color w:val="231F20"/>
        </w:rPr>
        <w:t>disease</w:t>
      </w:r>
      <w:r>
        <w:rPr>
          <w:color w:val="231F20"/>
          <w:spacing w:val="-7"/>
        </w:rPr>
        <w:t> </w:t>
      </w:r>
      <w:r>
        <w:rPr>
          <w:color w:val="231F20"/>
        </w:rPr>
        <w:t>reaction</w:t>
      </w:r>
      <w:r>
        <w:rPr>
          <w:color w:val="231F20"/>
          <w:spacing w:val="-7"/>
        </w:rPr>
        <w:t> </w:t>
      </w:r>
      <w:r>
        <w:rPr>
          <w:color w:val="231F20"/>
        </w:rPr>
        <w:t>of</w:t>
      </w:r>
      <w:r>
        <w:rPr>
          <w:color w:val="231F20"/>
          <w:spacing w:val="-7"/>
        </w:rPr>
        <w:t> </w:t>
      </w:r>
      <w:r>
        <w:rPr>
          <w:color w:val="231F20"/>
        </w:rPr>
        <w:t>sesame</w:t>
      </w:r>
      <w:r>
        <w:rPr>
          <w:color w:val="231F20"/>
          <w:spacing w:val="-7"/>
        </w:rPr>
        <w:t> </w:t>
      </w:r>
      <w:r>
        <w:rPr>
          <w:color w:val="231F20"/>
        </w:rPr>
        <w:t>genotypes to stem and root rot disease was studied by Thiyagu </w:t>
      </w:r>
      <w:r>
        <w:rPr>
          <w:i/>
          <w:color w:val="231F20"/>
        </w:rPr>
        <w:t>et al</w:t>
      </w:r>
      <w:r>
        <w:rPr>
          <w:color w:val="231F20"/>
        </w:rPr>
        <w:t>. (2007). In sick plot method, fifteen parents and their F1’s</w:t>
      </w:r>
      <w:r>
        <w:rPr>
          <w:color w:val="231F20"/>
          <w:spacing w:val="-2"/>
        </w:rPr>
        <w:t> </w:t>
      </w:r>
      <w:r>
        <w:rPr>
          <w:color w:val="231F20"/>
        </w:rPr>
        <w:t>were screened against the disease.</w:t>
      </w:r>
      <w:r>
        <w:rPr>
          <w:color w:val="231F20"/>
          <w:spacing w:val="-4"/>
        </w:rPr>
        <w:t> </w:t>
      </w:r>
      <w:r>
        <w:rPr>
          <w:color w:val="231F20"/>
        </w:rPr>
        <w:t>Three</w:t>
      </w:r>
      <w:r>
        <w:rPr>
          <w:color w:val="231F20"/>
          <w:spacing w:val="1"/>
        </w:rPr>
        <w:t> </w:t>
      </w:r>
      <w:r>
        <w:rPr>
          <w:color w:val="231F20"/>
          <w:spacing w:val="-2"/>
        </w:rPr>
        <w:t>genotypes</w:t>
      </w:r>
    </w:p>
    <w:p>
      <w:pPr>
        <w:pStyle w:val="BodyText"/>
        <w:spacing w:line="249" w:lineRule="auto" w:before="90"/>
        <w:jc w:val="both"/>
      </w:pPr>
      <w:r>
        <w:rPr/>
        <w:br w:type="column"/>
      </w:r>
      <w:r>
        <w:rPr>
          <w:color w:val="231F20"/>
        </w:rPr>
        <w:t>(ORM 7, ORM 14 and ORM 17) were found to be resistant with PDI of 7.69, 8.33 and 6.67 </w:t>
      </w:r>
      <w:r>
        <w:rPr>
          <w:color w:val="231F20"/>
        </w:rPr>
        <w:t>respectively</w:t>
      </w:r>
      <w:r>
        <w:rPr>
          <w:color w:val="231F20"/>
          <w:spacing w:val="80"/>
          <w:w w:val="150"/>
        </w:rPr>
        <w:t> </w:t>
      </w:r>
      <w:r>
        <w:rPr>
          <w:color w:val="231F20"/>
        </w:rPr>
        <w:t>in sick plot condition but the F1’s screened against the </w:t>
      </w:r>
      <w:r>
        <w:rPr>
          <w:color w:val="231F20"/>
          <w:spacing w:val="-2"/>
        </w:rPr>
        <w:t>disease</w:t>
      </w:r>
      <w:r>
        <w:rPr>
          <w:color w:val="231F20"/>
          <w:spacing w:val="-5"/>
        </w:rPr>
        <w:t> </w:t>
      </w:r>
      <w:r>
        <w:rPr>
          <w:color w:val="231F20"/>
          <w:spacing w:val="-2"/>
        </w:rPr>
        <w:t>showed</w:t>
      </w:r>
      <w:r>
        <w:rPr>
          <w:color w:val="231F20"/>
          <w:spacing w:val="-5"/>
        </w:rPr>
        <w:t> </w:t>
      </w:r>
      <w:r>
        <w:rPr>
          <w:color w:val="231F20"/>
          <w:spacing w:val="-2"/>
        </w:rPr>
        <w:t>that</w:t>
      </w:r>
      <w:r>
        <w:rPr>
          <w:color w:val="231F20"/>
          <w:spacing w:val="-6"/>
        </w:rPr>
        <w:t> </w:t>
      </w:r>
      <w:r>
        <w:rPr>
          <w:color w:val="231F20"/>
          <w:spacing w:val="-2"/>
        </w:rPr>
        <w:t>all</w:t>
      </w:r>
      <w:r>
        <w:rPr>
          <w:color w:val="231F20"/>
          <w:spacing w:val="-6"/>
        </w:rPr>
        <w:t> </w:t>
      </w:r>
      <w:r>
        <w:rPr>
          <w:color w:val="231F20"/>
          <w:spacing w:val="-2"/>
        </w:rPr>
        <w:t>crosses</w:t>
      </w:r>
      <w:r>
        <w:rPr>
          <w:color w:val="231F20"/>
          <w:spacing w:val="-5"/>
        </w:rPr>
        <w:t> </w:t>
      </w:r>
      <w:r>
        <w:rPr>
          <w:color w:val="231F20"/>
          <w:spacing w:val="-2"/>
        </w:rPr>
        <w:t>were</w:t>
      </w:r>
      <w:r>
        <w:rPr>
          <w:color w:val="231F20"/>
          <w:spacing w:val="-5"/>
        </w:rPr>
        <w:t> </w:t>
      </w:r>
      <w:r>
        <w:rPr>
          <w:color w:val="231F20"/>
          <w:spacing w:val="-2"/>
        </w:rPr>
        <w:t>susceptible</w:t>
      </w:r>
      <w:r>
        <w:rPr>
          <w:color w:val="231F20"/>
          <w:spacing w:val="-6"/>
        </w:rPr>
        <w:t> </w:t>
      </w:r>
      <w:r>
        <w:rPr>
          <w:color w:val="231F20"/>
          <w:spacing w:val="-2"/>
        </w:rPr>
        <w:t>to</w:t>
      </w:r>
      <w:r>
        <w:rPr>
          <w:color w:val="231F20"/>
          <w:spacing w:val="-5"/>
        </w:rPr>
        <w:t> </w:t>
      </w:r>
      <w:r>
        <w:rPr>
          <w:color w:val="231F20"/>
          <w:spacing w:val="-2"/>
        </w:rPr>
        <w:t>highly </w:t>
      </w:r>
      <w:r>
        <w:rPr>
          <w:color w:val="231F20"/>
        </w:rPr>
        <w:t>susceptible to root rot disease. Ramesh Nath Gupta </w:t>
      </w:r>
      <w:r>
        <w:rPr>
          <w:i/>
          <w:color w:val="231F20"/>
        </w:rPr>
        <w:t>et</w:t>
      </w:r>
      <w:r>
        <w:rPr>
          <w:i/>
          <w:color w:val="231F20"/>
          <w:spacing w:val="40"/>
        </w:rPr>
        <w:t> </w:t>
      </w:r>
      <w:r>
        <w:rPr>
          <w:i/>
          <w:color w:val="231F20"/>
        </w:rPr>
        <w:t>al</w:t>
      </w:r>
      <w:r>
        <w:rPr>
          <w:color w:val="231F20"/>
        </w:rPr>
        <w:t>. (2020) evaluated three hundred fifty germplasms lines for their relative resistance under natural sick plot conditions and majority of them showed moderately susceptible</w:t>
      </w:r>
      <w:r>
        <w:rPr>
          <w:color w:val="231F20"/>
          <w:spacing w:val="-1"/>
        </w:rPr>
        <w:t> </w:t>
      </w:r>
      <w:r>
        <w:rPr>
          <w:color w:val="231F20"/>
        </w:rPr>
        <w:t>to</w:t>
      </w:r>
      <w:r>
        <w:rPr>
          <w:color w:val="231F20"/>
          <w:spacing w:val="-1"/>
        </w:rPr>
        <w:t> </w:t>
      </w:r>
      <w:r>
        <w:rPr>
          <w:color w:val="231F20"/>
        </w:rPr>
        <w:t>susceptible</w:t>
      </w:r>
      <w:r>
        <w:rPr>
          <w:color w:val="231F20"/>
          <w:spacing w:val="-1"/>
        </w:rPr>
        <w:t> </w:t>
      </w:r>
      <w:r>
        <w:rPr>
          <w:color w:val="231F20"/>
        </w:rPr>
        <w:t>reaction</w:t>
      </w:r>
      <w:r>
        <w:rPr>
          <w:color w:val="231F20"/>
          <w:spacing w:val="-1"/>
        </w:rPr>
        <w:t> </w:t>
      </w:r>
      <w:r>
        <w:rPr>
          <w:color w:val="231F20"/>
        </w:rPr>
        <w:t>against</w:t>
      </w:r>
      <w:r>
        <w:rPr>
          <w:color w:val="231F20"/>
          <w:spacing w:val="-1"/>
        </w:rPr>
        <w:t> </w:t>
      </w:r>
      <w:r>
        <w:rPr>
          <w:color w:val="231F20"/>
        </w:rPr>
        <w:t>stem</w:t>
      </w:r>
      <w:r>
        <w:rPr>
          <w:color w:val="231F20"/>
          <w:spacing w:val="-1"/>
        </w:rPr>
        <w:t> </w:t>
      </w:r>
      <w:r>
        <w:rPr>
          <w:color w:val="231F20"/>
        </w:rPr>
        <w:t>and</w:t>
      </w:r>
      <w:r>
        <w:rPr>
          <w:color w:val="231F20"/>
          <w:spacing w:val="-1"/>
        </w:rPr>
        <w:t> </w:t>
      </w:r>
      <w:r>
        <w:rPr>
          <w:color w:val="231F20"/>
        </w:rPr>
        <w:t>root rot. None of the germplasms showed resistant reaction. Similar studies by Deepthi </w:t>
      </w:r>
      <w:r>
        <w:rPr>
          <w:i/>
          <w:color w:val="231F20"/>
        </w:rPr>
        <w:t>et al. </w:t>
      </w:r>
      <w:r>
        <w:rPr>
          <w:color w:val="231F20"/>
        </w:rPr>
        <w:t>(2014) revealed that none</w:t>
      </w:r>
      <w:r>
        <w:rPr>
          <w:color w:val="231F20"/>
          <w:spacing w:val="-7"/>
        </w:rPr>
        <w:t> </w:t>
      </w:r>
      <w:r>
        <w:rPr>
          <w:color w:val="231F20"/>
        </w:rPr>
        <w:t>of</w:t>
      </w:r>
      <w:r>
        <w:rPr>
          <w:color w:val="231F20"/>
          <w:spacing w:val="-6"/>
        </w:rPr>
        <w:t> </w:t>
      </w:r>
      <w:r>
        <w:rPr>
          <w:color w:val="231F20"/>
        </w:rPr>
        <w:t>the</w:t>
      </w:r>
      <w:r>
        <w:rPr>
          <w:color w:val="231F20"/>
          <w:spacing w:val="-6"/>
        </w:rPr>
        <w:t> </w:t>
      </w:r>
      <w:r>
        <w:rPr>
          <w:color w:val="231F20"/>
        </w:rPr>
        <w:t>cultivars</w:t>
      </w:r>
      <w:r>
        <w:rPr>
          <w:color w:val="231F20"/>
          <w:spacing w:val="-6"/>
        </w:rPr>
        <w:t> </w:t>
      </w:r>
      <w:r>
        <w:rPr>
          <w:color w:val="231F20"/>
        </w:rPr>
        <w:t>showed</w:t>
      </w:r>
      <w:r>
        <w:rPr>
          <w:color w:val="231F20"/>
          <w:spacing w:val="-6"/>
        </w:rPr>
        <w:t> </w:t>
      </w:r>
      <w:r>
        <w:rPr>
          <w:color w:val="231F20"/>
        </w:rPr>
        <w:t>complete</w:t>
      </w:r>
      <w:r>
        <w:rPr>
          <w:color w:val="231F20"/>
          <w:spacing w:val="-6"/>
        </w:rPr>
        <w:t> </w:t>
      </w:r>
      <w:r>
        <w:rPr>
          <w:color w:val="231F20"/>
        </w:rPr>
        <w:t>resistance</w:t>
      </w:r>
      <w:r>
        <w:rPr>
          <w:color w:val="231F20"/>
          <w:spacing w:val="-6"/>
        </w:rPr>
        <w:t> </w:t>
      </w:r>
      <w:r>
        <w:rPr>
          <w:color w:val="231F20"/>
          <w:spacing w:val="-2"/>
        </w:rPr>
        <w:t>against</w:t>
      </w:r>
    </w:p>
    <w:p>
      <w:pPr>
        <w:pStyle w:val="BodyText"/>
        <w:spacing w:line="249" w:lineRule="auto" w:before="11"/>
        <w:ind w:right="1"/>
        <w:jc w:val="both"/>
      </w:pPr>
      <w:r>
        <w:rPr>
          <w:i/>
          <w:color w:val="231F20"/>
        </w:rPr>
        <w:t>M.</w:t>
      </w:r>
      <w:r>
        <w:rPr>
          <w:i/>
          <w:color w:val="231F20"/>
          <w:spacing w:val="40"/>
        </w:rPr>
        <w:t> </w:t>
      </w:r>
      <w:r>
        <w:rPr>
          <w:i/>
          <w:color w:val="231F20"/>
        </w:rPr>
        <w:t>phaseolina.</w:t>
      </w:r>
      <w:r>
        <w:rPr>
          <w:i/>
          <w:color w:val="231F20"/>
          <w:spacing w:val="40"/>
        </w:rPr>
        <w:t> </w:t>
      </w:r>
      <w:r>
        <w:rPr>
          <w:color w:val="231F20"/>
        </w:rPr>
        <w:t>Only</w:t>
      </w:r>
      <w:r>
        <w:rPr>
          <w:color w:val="231F20"/>
          <w:spacing w:val="40"/>
        </w:rPr>
        <w:t> </w:t>
      </w:r>
      <w:r>
        <w:rPr>
          <w:color w:val="231F20"/>
        </w:rPr>
        <w:t>one</w:t>
      </w:r>
      <w:r>
        <w:rPr>
          <w:color w:val="231F20"/>
          <w:spacing w:val="40"/>
        </w:rPr>
        <w:t> </w:t>
      </w:r>
      <w:r>
        <w:rPr>
          <w:color w:val="231F20"/>
        </w:rPr>
        <w:t>entry</w:t>
      </w:r>
      <w:r>
        <w:rPr>
          <w:color w:val="231F20"/>
          <w:spacing w:val="40"/>
        </w:rPr>
        <w:t> </w:t>
      </w:r>
      <w:r>
        <w:rPr>
          <w:color w:val="231F20"/>
        </w:rPr>
        <w:t>PKDS-91</w:t>
      </w:r>
      <w:r>
        <w:rPr>
          <w:color w:val="231F20"/>
          <w:spacing w:val="40"/>
        </w:rPr>
        <w:t> </w:t>
      </w:r>
      <w:r>
        <w:rPr>
          <w:color w:val="231F20"/>
        </w:rPr>
        <w:t>was</w:t>
      </w:r>
      <w:r>
        <w:rPr>
          <w:color w:val="231F20"/>
          <w:spacing w:val="40"/>
        </w:rPr>
        <w:t> </w:t>
      </w:r>
      <w:r>
        <w:rPr>
          <w:color w:val="231F20"/>
        </w:rPr>
        <w:t>found as moderately resistant to charcoal rot. Ezhilarasi and Meena (2019) found most of the sesame lines were moderately</w:t>
      </w:r>
      <w:r>
        <w:rPr>
          <w:color w:val="231F20"/>
          <w:spacing w:val="-12"/>
        </w:rPr>
        <w:t> </w:t>
      </w:r>
      <w:r>
        <w:rPr>
          <w:color w:val="231F20"/>
        </w:rPr>
        <w:t>susceptible</w:t>
      </w:r>
      <w:r>
        <w:rPr>
          <w:color w:val="231F20"/>
          <w:spacing w:val="-12"/>
        </w:rPr>
        <w:t> </w:t>
      </w:r>
      <w:r>
        <w:rPr>
          <w:color w:val="231F20"/>
        </w:rPr>
        <w:t>to</w:t>
      </w:r>
      <w:r>
        <w:rPr>
          <w:color w:val="231F20"/>
          <w:spacing w:val="-11"/>
        </w:rPr>
        <w:t> </w:t>
      </w:r>
      <w:r>
        <w:rPr>
          <w:color w:val="231F20"/>
        </w:rPr>
        <w:t>stem</w:t>
      </w:r>
      <w:r>
        <w:rPr>
          <w:color w:val="231F20"/>
          <w:spacing w:val="-11"/>
        </w:rPr>
        <w:t> </w:t>
      </w:r>
      <w:r>
        <w:rPr>
          <w:color w:val="231F20"/>
        </w:rPr>
        <w:t>and</w:t>
      </w:r>
      <w:r>
        <w:rPr>
          <w:color w:val="231F20"/>
          <w:spacing w:val="-11"/>
        </w:rPr>
        <w:t> </w:t>
      </w:r>
      <w:r>
        <w:rPr>
          <w:color w:val="231F20"/>
        </w:rPr>
        <w:t>root</w:t>
      </w:r>
      <w:r>
        <w:rPr>
          <w:color w:val="231F20"/>
          <w:spacing w:val="-11"/>
        </w:rPr>
        <w:t> </w:t>
      </w:r>
      <w:r>
        <w:rPr>
          <w:color w:val="231F20"/>
        </w:rPr>
        <w:t>rot</w:t>
      </w:r>
      <w:r>
        <w:rPr>
          <w:color w:val="231F20"/>
          <w:spacing w:val="-11"/>
        </w:rPr>
        <w:t> </w:t>
      </w:r>
      <w:r>
        <w:rPr>
          <w:color w:val="231F20"/>
        </w:rPr>
        <w:t>in</w:t>
      </w:r>
      <w:r>
        <w:rPr>
          <w:color w:val="231F20"/>
          <w:spacing w:val="-11"/>
        </w:rPr>
        <w:t> </w:t>
      </w:r>
      <w:r>
        <w:rPr>
          <w:color w:val="231F20"/>
        </w:rPr>
        <w:t>their</w:t>
      </w:r>
      <w:r>
        <w:rPr>
          <w:color w:val="231F20"/>
          <w:spacing w:val="-11"/>
        </w:rPr>
        <w:t> </w:t>
      </w:r>
      <w:r>
        <w:rPr>
          <w:color w:val="231F20"/>
          <w:spacing w:val="-2"/>
        </w:rPr>
        <w:t>study.</w:t>
      </w:r>
    </w:p>
    <w:p>
      <w:pPr>
        <w:pStyle w:val="BodyText"/>
        <w:spacing w:line="249" w:lineRule="auto" w:before="119"/>
        <w:ind w:firstLine="432"/>
        <w:jc w:val="both"/>
      </w:pPr>
      <w:r>
        <w:rPr>
          <w:color w:val="231F20"/>
        </w:rPr>
        <w:t>Even</w:t>
      </w:r>
      <w:r>
        <w:rPr>
          <w:color w:val="231F20"/>
          <w:spacing w:val="80"/>
        </w:rPr>
        <w:t> </w:t>
      </w:r>
      <w:r>
        <w:rPr>
          <w:color w:val="231F20"/>
        </w:rPr>
        <w:t>though</w:t>
      </w:r>
      <w:r>
        <w:rPr>
          <w:color w:val="231F20"/>
          <w:spacing w:val="80"/>
        </w:rPr>
        <w:t> </w:t>
      </w:r>
      <w:r>
        <w:rPr>
          <w:color w:val="231F20"/>
        </w:rPr>
        <w:t>many</w:t>
      </w:r>
      <w:r>
        <w:rPr>
          <w:color w:val="231F20"/>
          <w:spacing w:val="80"/>
        </w:rPr>
        <w:t> </w:t>
      </w:r>
      <w:r>
        <w:rPr>
          <w:color w:val="231F20"/>
        </w:rPr>
        <w:t>lines</w:t>
      </w:r>
      <w:r>
        <w:rPr>
          <w:color w:val="231F20"/>
          <w:spacing w:val="80"/>
        </w:rPr>
        <w:t> </w:t>
      </w:r>
      <w:r>
        <w:rPr>
          <w:color w:val="231F20"/>
        </w:rPr>
        <w:t>have</w:t>
      </w:r>
      <w:r>
        <w:rPr>
          <w:color w:val="231F20"/>
          <w:spacing w:val="80"/>
        </w:rPr>
        <w:t> </w:t>
      </w:r>
      <w:r>
        <w:rPr>
          <w:color w:val="231F20"/>
        </w:rPr>
        <w:t>been</w:t>
      </w:r>
      <w:r>
        <w:rPr>
          <w:color w:val="231F20"/>
          <w:spacing w:val="80"/>
        </w:rPr>
        <w:t> </w:t>
      </w:r>
      <w:r>
        <w:rPr>
          <w:color w:val="231F20"/>
        </w:rPr>
        <w:t>identified as moderately resistant against the stem and root </w:t>
      </w:r>
      <w:r>
        <w:rPr>
          <w:color w:val="231F20"/>
        </w:rPr>
        <w:t>rot disease,</w:t>
      </w:r>
      <w:r>
        <w:rPr>
          <w:color w:val="231F20"/>
          <w:spacing w:val="-2"/>
        </w:rPr>
        <w:t> </w:t>
      </w:r>
      <w:r>
        <w:rPr>
          <w:color w:val="231F20"/>
        </w:rPr>
        <w:t>complete</w:t>
      </w:r>
      <w:r>
        <w:rPr>
          <w:color w:val="231F20"/>
          <w:spacing w:val="-2"/>
        </w:rPr>
        <w:t> </w:t>
      </w:r>
      <w:r>
        <w:rPr>
          <w:color w:val="231F20"/>
        </w:rPr>
        <w:t>resistant</w:t>
      </w:r>
      <w:r>
        <w:rPr>
          <w:color w:val="231F20"/>
          <w:spacing w:val="-2"/>
        </w:rPr>
        <w:t> </w:t>
      </w:r>
      <w:r>
        <w:rPr>
          <w:color w:val="231F20"/>
        </w:rPr>
        <w:t>genotype</w:t>
      </w:r>
      <w:r>
        <w:rPr>
          <w:color w:val="231F20"/>
          <w:spacing w:val="-2"/>
        </w:rPr>
        <w:t> </w:t>
      </w:r>
      <w:r>
        <w:rPr>
          <w:color w:val="231F20"/>
        </w:rPr>
        <w:t>are</w:t>
      </w:r>
      <w:r>
        <w:rPr>
          <w:color w:val="231F20"/>
          <w:spacing w:val="-2"/>
        </w:rPr>
        <w:t> </w:t>
      </w:r>
      <w:r>
        <w:rPr>
          <w:color w:val="231F20"/>
        </w:rPr>
        <w:t>rarely</w:t>
      </w:r>
      <w:r>
        <w:rPr>
          <w:color w:val="231F20"/>
          <w:spacing w:val="-2"/>
        </w:rPr>
        <w:t> </w:t>
      </w:r>
      <w:r>
        <w:rPr>
          <w:color w:val="231F20"/>
        </w:rPr>
        <w:t>available against</w:t>
      </w:r>
      <w:r>
        <w:rPr>
          <w:color w:val="231F20"/>
          <w:spacing w:val="-9"/>
        </w:rPr>
        <w:t> </w:t>
      </w:r>
      <w:r>
        <w:rPr>
          <w:color w:val="231F20"/>
        </w:rPr>
        <w:t>this</w:t>
      </w:r>
      <w:r>
        <w:rPr>
          <w:color w:val="231F20"/>
          <w:spacing w:val="-9"/>
        </w:rPr>
        <w:t> </w:t>
      </w:r>
      <w:r>
        <w:rPr>
          <w:color w:val="231F20"/>
        </w:rPr>
        <w:t>wide</w:t>
      </w:r>
      <w:r>
        <w:rPr>
          <w:color w:val="231F20"/>
          <w:spacing w:val="-9"/>
        </w:rPr>
        <w:t> </w:t>
      </w:r>
      <w:r>
        <w:rPr>
          <w:color w:val="231F20"/>
        </w:rPr>
        <w:t>host</w:t>
      </w:r>
      <w:r>
        <w:rPr>
          <w:color w:val="231F20"/>
          <w:spacing w:val="-9"/>
        </w:rPr>
        <w:t> </w:t>
      </w:r>
      <w:r>
        <w:rPr>
          <w:color w:val="231F20"/>
        </w:rPr>
        <w:t>range</w:t>
      </w:r>
      <w:r>
        <w:rPr>
          <w:color w:val="231F20"/>
          <w:spacing w:val="-9"/>
        </w:rPr>
        <w:t> </w:t>
      </w:r>
      <w:r>
        <w:rPr>
          <w:color w:val="231F20"/>
        </w:rPr>
        <w:t>pathogen.</w:t>
      </w:r>
      <w:r>
        <w:rPr>
          <w:color w:val="231F20"/>
          <w:spacing w:val="-9"/>
        </w:rPr>
        <w:t> </w:t>
      </w:r>
      <w:r>
        <w:rPr>
          <w:color w:val="231F20"/>
        </w:rPr>
        <w:t>In</w:t>
      </w:r>
      <w:r>
        <w:rPr>
          <w:color w:val="231F20"/>
          <w:spacing w:val="-9"/>
        </w:rPr>
        <w:t> </w:t>
      </w:r>
      <w:r>
        <w:rPr>
          <w:color w:val="231F20"/>
        </w:rPr>
        <w:t>the</w:t>
      </w:r>
      <w:r>
        <w:rPr>
          <w:color w:val="231F20"/>
          <w:spacing w:val="-9"/>
        </w:rPr>
        <w:t> </w:t>
      </w:r>
      <w:r>
        <w:rPr>
          <w:color w:val="231F20"/>
        </w:rPr>
        <w:t>study,</w:t>
      </w:r>
      <w:r>
        <w:rPr>
          <w:color w:val="231F20"/>
          <w:spacing w:val="-9"/>
        </w:rPr>
        <w:t> </w:t>
      </w:r>
      <w:r>
        <w:rPr>
          <w:color w:val="231F20"/>
        </w:rPr>
        <w:t>eight genotypes</w:t>
      </w:r>
      <w:r>
        <w:rPr>
          <w:color w:val="231F20"/>
          <w:spacing w:val="40"/>
        </w:rPr>
        <w:t> </w:t>
      </w:r>
      <w:r>
        <w:rPr>
          <w:color w:val="231F20"/>
        </w:rPr>
        <w:t>showed</w:t>
      </w:r>
      <w:r>
        <w:rPr>
          <w:color w:val="231F20"/>
          <w:spacing w:val="40"/>
        </w:rPr>
        <w:t> </w:t>
      </w:r>
      <w:r>
        <w:rPr>
          <w:color w:val="231F20"/>
        </w:rPr>
        <w:t>resistant</w:t>
      </w:r>
      <w:r>
        <w:rPr>
          <w:color w:val="231F20"/>
          <w:spacing w:val="40"/>
        </w:rPr>
        <w:t> </w:t>
      </w:r>
      <w:r>
        <w:rPr>
          <w:color w:val="231F20"/>
        </w:rPr>
        <w:t>disease</w:t>
      </w:r>
      <w:r>
        <w:rPr>
          <w:color w:val="231F20"/>
          <w:spacing w:val="40"/>
        </w:rPr>
        <w:t> </w:t>
      </w:r>
      <w:r>
        <w:rPr>
          <w:color w:val="231F20"/>
        </w:rPr>
        <w:t>reaction</w:t>
      </w:r>
      <w:r>
        <w:rPr>
          <w:color w:val="231F20"/>
          <w:spacing w:val="40"/>
        </w:rPr>
        <w:t> </w:t>
      </w:r>
      <w:r>
        <w:rPr>
          <w:color w:val="231F20"/>
        </w:rPr>
        <w:t>against the stem and root rot. But further evaluation of these genotypes</w:t>
      </w:r>
      <w:r>
        <w:rPr>
          <w:color w:val="231F20"/>
          <w:spacing w:val="-4"/>
        </w:rPr>
        <w:t> </w:t>
      </w:r>
      <w:r>
        <w:rPr>
          <w:color w:val="231F20"/>
        </w:rPr>
        <w:t>in</w:t>
      </w:r>
      <w:r>
        <w:rPr>
          <w:color w:val="231F20"/>
          <w:spacing w:val="-3"/>
        </w:rPr>
        <w:t> </w:t>
      </w:r>
      <w:r>
        <w:rPr>
          <w:color w:val="231F20"/>
        </w:rPr>
        <w:t>different</w:t>
      </w:r>
      <w:r>
        <w:rPr>
          <w:color w:val="231F20"/>
          <w:spacing w:val="-4"/>
        </w:rPr>
        <w:t> </w:t>
      </w:r>
      <w:r>
        <w:rPr>
          <w:color w:val="231F20"/>
        </w:rPr>
        <w:t>seasons</w:t>
      </w:r>
      <w:r>
        <w:rPr>
          <w:color w:val="231F20"/>
          <w:spacing w:val="-3"/>
        </w:rPr>
        <w:t> </w:t>
      </w:r>
      <w:r>
        <w:rPr>
          <w:color w:val="231F20"/>
        </w:rPr>
        <w:t>under</w:t>
      </w:r>
      <w:r>
        <w:rPr>
          <w:color w:val="231F20"/>
          <w:spacing w:val="-3"/>
        </w:rPr>
        <w:t> </w:t>
      </w:r>
      <w:r>
        <w:rPr>
          <w:color w:val="231F20"/>
        </w:rPr>
        <w:t>variable</w:t>
      </w:r>
      <w:r>
        <w:rPr>
          <w:color w:val="231F20"/>
          <w:spacing w:val="-4"/>
        </w:rPr>
        <w:t> </w:t>
      </w:r>
      <w:r>
        <w:rPr>
          <w:color w:val="231F20"/>
        </w:rPr>
        <w:t>conditions will reveal the resistant potential. Hence resistant genotypes</w:t>
      </w:r>
      <w:r>
        <w:rPr>
          <w:color w:val="231F20"/>
          <w:spacing w:val="40"/>
        </w:rPr>
        <w:t> </w:t>
      </w:r>
      <w:r>
        <w:rPr>
          <w:color w:val="231F20"/>
        </w:rPr>
        <w:t>are</w:t>
      </w:r>
      <w:r>
        <w:rPr>
          <w:color w:val="231F20"/>
          <w:spacing w:val="40"/>
        </w:rPr>
        <w:t> </w:t>
      </w:r>
      <w:r>
        <w:rPr>
          <w:color w:val="231F20"/>
        </w:rPr>
        <w:t>recommended</w:t>
      </w:r>
      <w:r>
        <w:rPr>
          <w:color w:val="231F20"/>
          <w:spacing w:val="40"/>
        </w:rPr>
        <w:t> </w:t>
      </w:r>
      <w:r>
        <w:rPr>
          <w:color w:val="231F20"/>
        </w:rPr>
        <w:t>for</w:t>
      </w:r>
      <w:r>
        <w:rPr>
          <w:color w:val="231F20"/>
          <w:spacing w:val="40"/>
        </w:rPr>
        <w:t> </w:t>
      </w:r>
      <w:r>
        <w:rPr>
          <w:color w:val="231F20"/>
        </w:rPr>
        <w:t>further</w:t>
      </w:r>
      <w:r>
        <w:rPr>
          <w:color w:val="231F20"/>
          <w:spacing w:val="40"/>
        </w:rPr>
        <w:t> </w:t>
      </w:r>
      <w:r>
        <w:rPr>
          <w:color w:val="231F20"/>
        </w:rPr>
        <w:t>evaluation and potential cultivation. These lines might be helpful</w:t>
      </w:r>
      <w:r>
        <w:rPr>
          <w:color w:val="231F20"/>
          <w:spacing w:val="40"/>
        </w:rPr>
        <w:t> </w:t>
      </w:r>
      <w:r>
        <w:rPr>
          <w:color w:val="231F20"/>
        </w:rPr>
        <w:t>in improving the breeding program of sesame crop. These sesame lines can be used for improvement of genetic resistance in already developed lines/varieties</w:t>
      </w:r>
      <w:r>
        <w:rPr>
          <w:color w:val="231F20"/>
          <w:spacing w:val="80"/>
        </w:rPr>
        <w:t> </w:t>
      </w:r>
      <w:r>
        <w:rPr>
          <w:color w:val="231F20"/>
        </w:rPr>
        <w:t>or development of new resistant varieties and cultivars through hybridization program.</w:t>
      </w:r>
    </w:p>
    <w:p>
      <w:pPr>
        <w:pStyle w:val="BodyText"/>
        <w:spacing w:line="249" w:lineRule="auto" w:before="129"/>
        <w:ind w:right="1" w:firstLine="539"/>
        <w:jc w:val="both"/>
      </w:pPr>
      <w:r>
        <w:rPr>
          <w:color w:val="231F20"/>
        </w:rPr>
        <w:t>The identification of resistant genotypes in the study marks a significant step toward </w:t>
      </w:r>
      <w:r>
        <w:rPr>
          <w:color w:val="231F20"/>
        </w:rPr>
        <w:t>sustainable management</w:t>
      </w:r>
      <w:r>
        <w:rPr>
          <w:color w:val="231F20"/>
          <w:spacing w:val="12"/>
        </w:rPr>
        <w:t> </w:t>
      </w:r>
      <w:r>
        <w:rPr>
          <w:color w:val="231F20"/>
        </w:rPr>
        <w:t>of</w:t>
      </w:r>
      <w:r>
        <w:rPr>
          <w:color w:val="231F20"/>
          <w:spacing w:val="12"/>
        </w:rPr>
        <w:t> </w:t>
      </w:r>
      <w:r>
        <w:rPr>
          <w:color w:val="231F20"/>
        </w:rPr>
        <w:t>stem</w:t>
      </w:r>
      <w:r>
        <w:rPr>
          <w:color w:val="231F20"/>
          <w:spacing w:val="12"/>
        </w:rPr>
        <w:t> </w:t>
      </w:r>
      <w:r>
        <w:rPr>
          <w:color w:val="231F20"/>
        </w:rPr>
        <w:t>and</w:t>
      </w:r>
      <w:r>
        <w:rPr>
          <w:color w:val="231F20"/>
          <w:spacing w:val="12"/>
        </w:rPr>
        <w:t> </w:t>
      </w:r>
      <w:r>
        <w:rPr>
          <w:color w:val="231F20"/>
        </w:rPr>
        <w:t>root</w:t>
      </w:r>
      <w:r>
        <w:rPr>
          <w:color w:val="231F20"/>
          <w:spacing w:val="12"/>
        </w:rPr>
        <w:t> </w:t>
      </w:r>
      <w:r>
        <w:rPr>
          <w:color w:val="231F20"/>
        </w:rPr>
        <w:t>rot</w:t>
      </w:r>
      <w:r>
        <w:rPr>
          <w:color w:val="231F20"/>
          <w:spacing w:val="12"/>
        </w:rPr>
        <w:t> </w:t>
      </w:r>
      <w:r>
        <w:rPr>
          <w:color w:val="231F20"/>
        </w:rPr>
        <w:t>in</w:t>
      </w:r>
      <w:r>
        <w:rPr>
          <w:color w:val="231F20"/>
          <w:spacing w:val="12"/>
        </w:rPr>
        <w:t> </w:t>
      </w:r>
      <w:r>
        <w:rPr>
          <w:color w:val="231F20"/>
        </w:rPr>
        <w:t>sesame.</w:t>
      </w:r>
      <w:r>
        <w:rPr>
          <w:color w:val="231F20"/>
          <w:spacing w:val="12"/>
        </w:rPr>
        <w:t> </w:t>
      </w:r>
      <w:r>
        <w:rPr>
          <w:color w:val="231F20"/>
          <w:spacing w:val="-2"/>
        </w:rPr>
        <w:t>Continued</w:t>
      </w:r>
    </w:p>
    <w:p>
      <w:pPr>
        <w:pStyle w:val="BodyText"/>
        <w:spacing w:after="0" w:line="249" w:lineRule="auto"/>
        <w:jc w:val="both"/>
        <w:sectPr>
          <w:type w:val="continuous"/>
          <w:pgSz w:w="12480" w:h="15880"/>
          <w:pgMar w:header="949" w:footer="0" w:top="980" w:bottom="1180" w:left="1133" w:right="1133"/>
          <w:cols w:num="2" w:equalWidth="0">
            <w:col w:w="4962" w:space="281"/>
            <w:col w:w="4971"/>
          </w:cols>
        </w:sectPr>
      </w:pPr>
    </w:p>
    <w:p>
      <w:pPr>
        <w:pStyle w:val="BodyText"/>
        <w:spacing w:before="134"/>
        <w:ind w:left="0"/>
      </w:pPr>
    </w:p>
    <w:p>
      <w:pPr>
        <w:spacing w:before="0"/>
        <w:ind w:left="1" w:right="0" w:firstLine="0"/>
        <w:jc w:val="left"/>
        <w:rPr>
          <w:b/>
          <w:sz w:val="22"/>
        </w:rPr>
      </w:pPr>
      <w:r>
        <w:rPr>
          <w:b/>
          <w:color w:val="231F20"/>
          <w:sz w:val="22"/>
        </w:rPr>
        <w:t>Table</w:t>
      </w:r>
      <w:r>
        <w:rPr>
          <w:b/>
          <w:color w:val="231F20"/>
          <w:spacing w:val="-6"/>
          <w:sz w:val="22"/>
        </w:rPr>
        <w:t> </w:t>
      </w:r>
      <w:r>
        <w:rPr>
          <w:b/>
          <w:color w:val="231F20"/>
          <w:sz w:val="22"/>
        </w:rPr>
        <w:t>2.</w:t>
      </w:r>
      <w:r>
        <w:rPr>
          <w:b/>
          <w:color w:val="231F20"/>
          <w:spacing w:val="-3"/>
          <w:sz w:val="22"/>
        </w:rPr>
        <w:t> </w:t>
      </w:r>
      <w:r>
        <w:rPr>
          <w:b/>
          <w:color w:val="231F20"/>
          <w:sz w:val="22"/>
        </w:rPr>
        <w:t>Screening</w:t>
      </w:r>
      <w:r>
        <w:rPr>
          <w:b/>
          <w:color w:val="231F20"/>
          <w:spacing w:val="-4"/>
          <w:sz w:val="22"/>
        </w:rPr>
        <w:t> </w:t>
      </w:r>
      <w:r>
        <w:rPr>
          <w:b/>
          <w:color w:val="231F20"/>
          <w:sz w:val="22"/>
        </w:rPr>
        <w:t>of</w:t>
      </w:r>
      <w:r>
        <w:rPr>
          <w:b/>
          <w:color w:val="231F20"/>
          <w:spacing w:val="-3"/>
          <w:sz w:val="22"/>
        </w:rPr>
        <w:t> </w:t>
      </w:r>
      <w:r>
        <w:rPr>
          <w:b/>
          <w:color w:val="231F20"/>
          <w:sz w:val="22"/>
        </w:rPr>
        <w:t>sesame</w:t>
      </w:r>
      <w:r>
        <w:rPr>
          <w:b/>
          <w:color w:val="231F20"/>
          <w:spacing w:val="-4"/>
          <w:sz w:val="22"/>
        </w:rPr>
        <w:t> </w:t>
      </w:r>
      <w:r>
        <w:rPr>
          <w:b/>
          <w:color w:val="231F20"/>
          <w:sz w:val="22"/>
        </w:rPr>
        <w:t>genotypes</w:t>
      </w:r>
      <w:r>
        <w:rPr>
          <w:b/>
          <w:color w:val="231F20"/>
          <w:spacing w:val="-4"/>
          <w:sz w:val="22"/>
        </w:rPr>
        <w:t> </w:t>
      </w:r>
      <w:r>
        <w:rPr>
          <w:b/>
          <w:color w:val="231F20"/>
          <w:sz w:val="22"/>
        </w:rPr>
        <w:t>against</w:t>
      </w:r>
      <w:r>
        <w:rPr>
          <w:b/>
          <w:color w:val="231F20"/>
          <w:spacing w:val="-4"/>
          <w:sz w:val="22"/>
        </w:rPr>
        <w:t> </w:t>
      </w:r>
      <w:r>
        <w:rPr>
          <w:b/>
          <w:color w:val="231F20"/>
          <w:sz w:val="22"/>
        </w:rPr>
        <w:t>stem</w:t>
      </w:r>
      <w:r>
        <w:rPr>
          <w:b/>
          <w:color w:val="231F20"/>
          <w:spacing w:val="-3"/>
          <w:sz w:val="22"/>
        </w:rPr>
        <w:t> </w:t>
      </w:r>
      <w:r>
        <w:rPr>
          <w:b/>
          <w:color w:val="231F20"/>
          <w:sz w:val="22"/>
        </w:rPr>
        <w:t>and</w:t>
      </w:r>
      <w:r>
        <w:rPr>
          <w:b/>
          <w:color w:val="231F20"/>
          <w:spacing w:val="-4"/>
          <w:sz w:val="22"/>
        </w:rPr>
        <w:t> </w:t>
      </w:r>
      <w:r>
        <w:rPr>
          <w:b/>
          <w:color w:val="231F20"/>
          <w:sz w:val="22"/>
        </w:rPr>
        <w:t>root</w:t>
      </w:r>
      <w:r>
        <w:rPr>
          <w:b/>
          <w:color w:val="231F20"/>
          <w:spacing w:val="-4"/>
          <w:sz w:val="22"/>
        </w:rPr>
        <w:t> </w:t>
      </w:r>
      <w:r>
        <w:rPr>
          <w:b/>
          <w:color w:val="231F20"/>
          <w:sz w:val="22"/>
        </w:rPr>
        <w:t>rot</w:t>
      </w:r>
      <w:r>
        <w:rPr>
          <w:b/>
          <w:color w:val="231F20"/>
          <w:spacing w:val="-3"/>
          <w:sz w:val="22"/>
        </w:rPr>
        <w:t> </w:t>
      </w:r>
      <w:r>
        <w:rPr>
          <w:b/>
          <w:color w:val="231F20"/>
          <w:sz w:val="22"/>
        </w:rPr>
        <w:t>disease</w:t>
      </w:r>
      <w:r>
        <w:rPr>
          <w:b/>
          <w:color w:val="231F20"/>
          <w:spacing w:val="-4"/>
          <w:sz w:val="22"/>
        </w:rPr>
        <w:t> </w:t>
      </w:r>
      <w:r>
        <w:rPr>
          <w:b/>
          <w:color w:val="231F20"/>
          <w:sz w:val="22"/>
        </w:rPr>
        <w:t>in</w:t>
      </w:r>
      <w:r>
        <w:rPr>
          <w:b/>
          <w:color w:val="231F20"/>
          <w:spacing w:val="-4"/>
          <w:sz w:val="22"/>
        </w:rPr>
        <w:t> </w:t>
      </w:r>
      <w:r>
        <w:rPr>
          <w:b/>
          <w:color w:val="231F20"/>
          <w:sz w:val="22"/>
        </w:rPr>
        <w:t>sick</w:t>
      </w:r>
      <w:r>
        <w:rPr>
          <w:b/>
          <w:color w:val="231F20"/>
          <w:spacing w:val="-4"/>
          <w:sz w:val="22"/>
        </w:rPr>
        <w:t> plot</w:t>
      </w:r>
    </w:p>
    <w:p>
      <w:pPr>
        <w:pStyle w:val="BodyText"/>
        <w:spacing w:before="1"/>
        <w:ind w:left="0"/>
        <w:rPr>
          <w:b/>
          <w:sz w:val="14"/>
        </w:rPr>
      </w:pPr>
    </w:p>
    <w:tbl>
      <w:tblPr>
        <w:tblW w:w="0" w:type="auto"/>
        <w:jc w:val="left"/>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2"/>
        <w:gridCol w:w="2139"/>
        <w:gridCol w:w="2131"/>
        <w:gridCol w:w="1655"/>
        <w:gridCol w:w="2098"/>
        <w:gridCol w:w="1328"/>
      </w:tblGrid>
      <w:tr>
        <w:trPr>
          <w:trHeight w:val="306" w:hRule="atLeast"/>
        </w:trPr>
        <w:tc>
          <w:tcPr>
            <w:tcW w:w="5042" w:type="dxa"/>
            <w:gridSpan w:val="3"/>
            <w:tcBorders>
              <w:top w:val="single" w:sz="8" w:space="0" w:color="000000"/>
            </w:tcBorders>
          </w:tcPr>
          <w:p>
            <w:pPr>
              <w:pStyle w:val="TableParagraph"/>
              <w:tabs>
                <w:tab w:pos="1248" w:val="left" w:leader="none"/>
                <w:tab w:pos="3623" w:val="left" w:leader="none"/>
              </w:tabs>
              <w:spacing w:line="236" w:lineRule="exact" w:before="50"/>
              <w:ind w:left="182"/>
              <w:jc w:val="left"/>
              <w:rPr>
                <w:b/>
                <w:position w:val="13"/>
                <w:sz w:val="22"/>
              </w:rPr>
            </w:pPr>
            <w:r>
              <w:rPr>
                <w:b/>
                <w:sz w:val="22"/>
              </w:rPr>
              <w:t>S.</w:t>
            </w:r>
            <w:r>
              <w:rPr>
                <w:b/>
                <w:spacing w:val="-1"/>
                <w:sz w:val="22"/>
              </w:rPr>
              <w:t> </w:t>
            </w:r>
            <w:r>
              <w:rPr>
                <w:b/>
                <w:spacing w:val="-5"/>
                <w:sz w:val="22"/>
              </w:rPr>
              <w:t>No</w:t>
            </w:r>
            <w:r>
              <w:rPr>
                <w:b/>
                <w:sz w:val="22"/>
              </w:rPr>
              <w:tab/>
              <w:t>Sesame</w:t>
            </w:r>
            <w:r>
              <w:rPr>
                <w:b/>
                <w:spacing w:val="-3"/>
                <w:sz w:val="22"/>
              </w:rPr>
              <w:t> </w:t>
            </w:r>
            <w:r>
              <w:rPr>
                <w:b/>
                <w:spacing w:val="-2"/>
                <w:sz w:val="22"/>
              </w:rPr>
              <w:t>genotypes</w:t>
            </w:r>
            <w:r>
              <w:rPr>
                <w:b/>
                <w:sz w:val="22"/>
              </w:rPr>
              <w:tab/>
            </w:r>
            <w:r>
              <w:rPr>
                <w:b/>
                <w:position w:val="13"/>
                <w:sz w:val="22"/>
              </w:rPr>
              <w:t>Initial</w:t>
            </w:r>
            <w:r>
              <w:rPr>
                <w:b/>
                <w:spacing w:val="-3"/>
                <w:position w:val="13"/>
                <w:sz w:val="22"/>
              </w:rPr>
              <w:t> </w:t>
            </w:r>
            <w:r>
              <w:rPr>
                <w:b/>
                <w:spacing w:val="-4"/>
                <w:position w:val="13"/>
                <w:sz w:val="22"/>
              </w:rPr>
              <w:t>plant</w:t>
            </w:r>
          </w:p>
        </w:tc>
        <w:tc>
          <w:tcPr>
            <w:tcW w:w="1655" w:type="dxa"/>
            <w:tcBorders>
              <w:top w:val="single" w:sz="8" w:space="0" w:color="000000"/>
            </w:tcBorders>
          </w:tcPr>
          <w:p>
            <w:pPr>
              <w:pStyle w:val="TableParagraph"/>
              <w:spacing w:line="233" w:lineRule="exact" w:before="53"/>
              <w:ind w:left="2" w:right="25"/>
              <w:rPr>
                <w:b/>
                <w:sz w:val="22"/>
              </w:rPr>
            </w:pPr>
            <w:r>
              <w:rPr>
                <w:b/>
                <w:sz w:val="22"/>
              </w:rPr>
              <w:t>Final</w:t>
            </w:r>
            <w:r>
              <w:rPr>
                <w:b/>
                <w:spacing w:val="-2"/>
                <w:sz w:val="22"/>
              </w:rPr>
              <w:t> plant</w:t>
            </w:r>
          </w:p>
        </w:tc>
        <w:tc>
          <w:tcPr>
            <w:tcW w:w="2098" w:type="dxa"/>
            <w:tcBorders>
              <w:top w:val="single" w:sz="8" w:space="0" w:color="000000"/>
            </w:tcBorders>
          </w:tcPr>
          <w:p>
            <w:pPr>
              <w:pStyle w:val="TableParagraph"/>
              <w:spacing w:line="233" w:lineRule="exact" w:before="53"/>
              <w:ind w:left="23"/>
              <w:rPr>
                <w:b/>
                <w:sz w:val="22"/>
              </w:rPr>
            </w:pPr>
            <w:r>
              <w:rPr>
                <w:b/>
                <w:sz w:val="22"/>
              </w:rPr>
              <w:t>Percent</w:t>
            </w:r>
            <w:r>
              <w:rPr>
                <w:b/>
                <w:spacing w:val="-3"/>
                <w:sz w:val="22"/>
              </w:rPr>
              <w:t> </w:t>
            </w:r>
            <w:r>
              <w:rPr>
                <w:b/>
                <w:spacing w:val="-2"/>
                <w:sz w:val="22"/>
              </w:rPr>
              <w:t>disease</w:t>
            </w:r>
          </w:p>
        </w:tc>
        <w:tc>
          <w:tcPr>
            <w:tcW w:w="1328" w:type="dxa"/>
            <w:tcBorders>
              <w:top w:val="single" w:sz="8" w:space="0" w:color="000000"/>
            </w:tcBorders>
          </w:tcPr>
          <w:p>
            <w:pPr>
              <w:pStyle w:val="TableParagraph"/>
              <w:spacing w:line="233" w:lineRule="exact" w:before="53"/>
              <w:ind w:left="55" w:right="4"/>
              <w:rPr>
                <w:b/>
                <w:sz w:val="22"/>
              </w:rPr>
            </w:pPr>
            <w:r>
              <w:rPr>
                <w:b/>
                <w:spacing w:val="-2"/>
                <w:sz w:val="22"/>
              </w:rPr>
              <w:t>Disease</w:t>
            </w:r>
          </w:p>
        </w:tc>
      </w:tr>
      <w:tr>
        <w:trPr>
          <w:trHeight w:val="307" w:hRule="atLeast"/>
        </w:trPr>
        <w:tc>
          <w:tcPr>
            <w:tcW w:w="772" w:type="dxa"/>
            <w:tcBorders>
              <w:bottom w:val="single" w:sz="8" w:space="0" w:color="000000"/>
            </w:tcBorders>
          </w:tcPr>
          <w:p>
            <w:pPr>
              <w:pStyle w:val="TableParagraph"/>
              <w:spacing w:before="0"/>
              <w:jc w:val="left"/>
              <w:rPr>
                <w:sz w:val="22"/>
              </w:rPr>
            </w:pPr>
          </w:p>
        </w:tc>
        <w:tc>
          <w:tcPr>
            <w:tcW w:w="2139" w:type="dxa"/>
            <w:tcBorders>
              <w:bottom w:val="single" w:sz="8" w:space="0" w:color="000000"/>
            </w:tcBorders>
          </w:tcPr>
          <w:p>
            <w:pPr>
              <w:pStyle w:val="TableParagraph"/>
              <w:spacing w:before="0"/>
              <w:jc w:val="left"/>
              <w:rPr>
                <w:sz w:val="22"/>
              </w:rPr>
            </w:pPr>
          </w:p>
        </w:tc>
        <w:tc>
          <w:tcPr>
            <w:tcW w:w="2131" w:type="dxa"/>
            <w:tcBorders>
              <w:bottom w:val="single" w:sz="8" w:space="0" w:color="000000"/>
            </w:tcBorders>
          </w:tcPr>
          <w:p>
            <w:pPr>
              <w:pStyle w:val="TableParagraph"/>
              <w:spacing w:line="244" w:lineRule="exact" w:before="0"/>
              <w:ind w:left="416"/>
              <w:rPr>
                <w:b/>
                <w:sz w:val="22"/>
              </w:rPr>
            </w:pPr>
            <w:r>
              <w:rPr>
                <w:b/>
                <w:spacing w:val="-2"/>
                <w:sz w:val="22"/>
              </w:rPr>
              <w:t>stand*</w:t>
            </w:r>
          </w:p>
        </w:tc>
        <w:tc>
          <w:tcPr>
            <w:tcW w:w="1655" w:type="dxa"/>
            <w:tcBorders>
              <w:bottom w:val="single" w:sz="8" w:space="0" w:color="000000"/>
            </w:tcBorders>
          </w:tcPr>
          <w:p>
            <w:pPr>
              <w:pStyle w:val="TableParagraph"/>
              <w:spacing w:line="244" w:lineRule="exact" w:before="0"/>
              <w:ind w:left="2" w:right="25"/>
              <w:rPr>
                <w:b/>
                <w:sz w:val="22"/>
              </w:rPr>
            </w:pPr>
            <w:r>
              <w:rPr>
                <w:b/>
                <w:spacing w:val="-2"/>
                <w:sz w:val="22"/>
              </w:rPr>
              <w:t>stand*</w:t>
            </w:r>
          </w:p>
        </w:tc>
        <w:tc>
          <w:tcPr>
            <w:tcW w:w="2098" w:type="dxa"/>
            <w:tcBorders>
              <w:bottom w:val="single" w:sz="8" w:space="0" w:color="000000"/>
            </w:tcBorders>
          </w:tcPr>
          <w:p>
            <w:pPr>
              <w:pStyle w:val="TableParagraph"/>
              <w:spacing w:line="244" w:lineRule="exact" w:before="0"/>
              <w:ind w:left="23" w:right="2"/>
              <w:rPr>
                <w:b/>
                <w:sz w:val="22"/>
              </w:rPr>
            </w:pPr>
            <w:r>
              <w:rPr>
                <w:b/>
                <w:sz w:val="22"/>
              </w:rPr>
              <w:t>incidence</w:t>
            </w:r>
            <w:r>
              <w:rPr>
                <w:b/>
                <w:spacing w:val="-7"/>
                <w:sz w:val="22"/>
              </w:rPr>
              <w:t> </w:t>
            </w:r>
            <w:r>
              <w:rPr>
                <w:b/>
                <w:sz w:val="22"/>
              </w:rPr>
              <w:t>(%)</w:t>
            </w:r>
            <w:r>
              <w:rPr>
                <w:b/>
                <w:spacing w:val="-2"/>
                <w:sz w:val="22"/>
              </w:rPr>
              <w:t> </w:t>
            </w:r>
            <w:r>
              <w:rPr>
                <w:b/>
                <w:spacing w:val="-10"/>
                <w:sz w:val="22"/>
              </w:rPr>
              <w:t>*</w:t>
            </w:r>
          </w:p>
        </w:tc>
        <w:tc>
          <w:tcPr>
            <w:tcW w:w="1328" w:type="dxa"/>
            <w:tcBorders>
              <w:bottom w:val="single" w:sz="8" w:space="0" w:color="000000"/>
            </w:tcBorders>
          </w:tcPr>
          <w:p>
            <w:pPr>
              <w:pStyle w:val="TableParagraph"/>
              <w:spacing w:line="244" w:lineRule="exact" w:before="0"/>
              <w:ind w:left="55"/>
              <w:rPr>
                <w:b/>
                <w:sz w:val="22"/>
              </w:rPr>
            </w:pPr>
            <w:r>
              <w:rPr>
                <w:b/>
                <w:spacing w:val="-2"/>
                <w:sz w:val="22"/>
              </w:rPr>
              <w:t>reaction</w:t>
            </w:r>
          </w:p>
        </w:tc>
      </w:tr>
      <w:tr>
        <w:trPr>
          <w:trHeight w:val="365" w:hRule="atLeast"/>
        </w:trPr>
        <w:tc>
          <w:tcPr>
            <w:tcW w:w="772" w:type="dxa"/>
            <w:tcBorders>
              <w:top w:val="single" w:sz="8" w:space="0" w:color="000000"/>
            </w:tcBorders>
          </w:tcPr>
          <w:p>
            <w:pPr>
              <w:pStyle w:val="TableParagraph"/>
              <w:spacing w:before="53"/>
              <w:ind w:left="96"/>
              <w:rPr>
                <w:sz w:val="22"/>
              </w:rPr>
            </w:pPr>
            <w:r>
              <w:rPr>
                <w:spacing w:val="-5"/>
                <w:sz w:val="22"/>
              </w:rPr>
              <w:t>1.</w:t>
            </w:r>
          </w:p>
        </w:tc>
        <w:tc>
          <w:tcPr>
            <w:tcW w:w="2139" w:type="dxa"/>
            <w:tcBorders>
              <w:top w:val="single" w:sz="8" w:space="0" w:color="000000"/>
            </w:tcBorders>
          </w:tcPr>
          <w:p>
            <w:pPr>
              <w:pStyle w:val="TableParagraph"/>
              <w:spacing w:before="53"/>
              <w:ind w:left="199"/>
              <w:jc w:val="left"/>
              <w:rPr>
                <w:sz w:val="22"/>
              </w:rPr>
            </w:pPr>
            <w:r>
              <w:rPr>
                <w:spacing w:val="-2"/>
                <w:sz w:val="22"/>
              </w:rPr>
              <w:t>YLM-</w:t>
            </w:r>
            <w:r>
              <w:rPr>
                <w:spacing w:val="-5"/>
                <w:sz w:val="22"/>
              </w:rPr>
              <w:t>11</w:t>
            </w:r>
          </w:p>
        </w:tc>
        <w:tc>
          <w:tcPr>
            <w:tcW w:w="2131" w:type="dxa"/>
            <w:tcBorders>
              <w:top w:val="single" w:sz="8" w:space="0" w:color="000000"/>
            </w:tcBorders>
          </w:tcPr>
          <w:p>
            <w:pPr>
              <w:pStyle w:val="TableParagraph"/>
              <w:spacing w:before="53"/>
              <w:ind w:left="416" w:right="2"/>
              <w:rPr>
                <w:sz w:val="22"/>
              </w:rPr>
            </w:pPr>
            <w:r>
              <w:rPr>
                <w:spacing w:val="-5"/>
                <w:sz w:val="22"/>
              </w:rPr>
              <w:t>45</w:t>
            </w:r>
          </w:p>
        </w:tc>
        <w:tc>
          <w:tcPr>
            <w:tcW w:w="1655" w:type="dxa"/>
            <w:tcBorders>
              <w:top w:val="single" w:sz="8" w:space="0" w:color="000000"/>
            </w:tcBorders>
          </w:tcPr>
          <w:p>
            <w:pPr>
              <w:pStyle w:val="TableParagraph"/>
              <w:spacing w:before="53"/>
              <w:ind w:right="25"/>
              <w:rPr>
                <w:sz w:val="22"/>
              </w:rPr>
            </w:pPr>
            <w:r>
              <w:rPr>
                <w:spacing w:val="-5"/>
                <w:sz w:val="22"/>
              </w:rPr>
              <w:t>41</w:t>
            </w:r>
          </w:p>
        </w:tc>
        <w:tc>
          <w:tcPr>
            <w:tcW w:w="2098" w:type="dxa"/>
            <w:tcBorders>
              <w:top w:val="single" w:sz="8" w:space="0" w:color="000000"/>
            </w:tcBorders>
          </w:tcPr>
          <w:p>
            <w:pPr>
              <w:pStyle w:val="TableParagraph"/>
              <w:spacing w:before="53"/>
              <w:ind w:left="571"/>
              <w:jc w:val="left"/>
              <w:rPr>
                <w:sz w:val="22"/>
              </w:rPr>
            </w:pPr>
            <w:r>
              <w:rPr>
                <w:sz w:val="22"/>
              </w:rPr>
              <w:t>12.7 </w:t>
            </w:r>
            <w:r>
              <w:rPr>
                <w:spacing w:val="-2"/>
                <w:sz w:val="22"/>
              </w:rPr>
              <w:t>(27.1)</w:t>
            </w:r>
          </w:p>
        </w:tc>
        <w:tc>
          <w:tcPr>
            <w:tcW w:w="1328" w:type="dxa"/>
            <w:tcBorders>
              <w:top w:val="single" w:sz="8" w:space="0" w:color="000000"/>
            </w:tcBorders>
          </w:tcPr>
          <w:p>
            <w:pPr>
              <w:pStyle w:val="TableParagraph"/>
              <w:spacing w:before="53"/>
              <w:ind w:left="55" w:right="2"/>
              <w:rPr>
                <w:sz w:val="22"/>
              </w:rPr>
            </w:pPr>
            <w:r>
              <w:rPr>
                <w:spacing w:val="-5"/>
                <w:sz w:val="22"/>
              </w:rPr>
              <w:t>MR</w:t>
            </w:r>
          </w:p>
        </w:tc>
      </w:tr>
      <w:tr>
        <w:trPr>
          <w:trHeight w:val="361" w:hRule="atLeast"/>
        </w:trPr>
        <w:tc>
          <w:tcPr>
            <w:tcW w:w="772" w:type="dxa"/>
          </w:tcPr>
          <w:p>
            <w:pPr>
              <w:pStyle w:val="TableParagraph"/>
              <w:spacing w:before="50"/>
              <w:ind w:left="96"/>
              <w:rPr>
                <w:sz w:val="22"/>
              </w:rPr>
            </w:pPr>
            <w:r>
              <w:rPr>
                <w:spacing w:val="-5"/>
                <w:sz w:val="22"/>
              </w:rPr>
              <w:t>2.</w:t>
            </w:r>
          </w:p>
        </w:tc>
        <w:tc>
          <w:tcPr>
            <w:tcW w:w="2139" w:type="dxa"/>
          </w:tcPr>
          <w:p>
            <w:pPr>
              <w:pStyle w:val="TableParagraph"/>
              <w:spacing w:before="50"/>
              <w:ind w:left="199"/>
              <w:jc w:val="left"/>
              <w:rPr>
                <w:sz w:val="22"/>
              </w:rPr>
            </w:pPr>
            <w:r>
              <w:rPr>
                <w:spacing w:val="-2"/>
                <w:sz w:val="22"/>
              </w:rPr>
              <w:t>YLM-</w:t>
            </w:r>
            <w:r>
              <w:rPr>
                <w:spacing w:val="-5"/>
                <w:sz w:val="22"/>
              </w:rPr>
              <w:t>17</w:t>
            </w:r>
          </w:p>
        </w:tc>
        <w:tc>
          <w:tcPr>
            <w:tcW w:w="2131" w:type="dxa"/>
          </w:tcPr>
          <w:p>
            <w:pPr>
              <w:pStyle w:val="TableParagraph"/>
              <w:spacing w:before="50"/>
              <w:ind w:left="416" w:right="2"/>
              <w:rPr>
                <w:sz w:val="22"/>
              </w:rPr>
            </w:pPr>
            <w:r>
              <w:rPr>
                <w:spacing w:val="-5"/>
                <w:sz w:val="22"/>
              </w:rPr>
              <w:t>36</w:t>
            </w:r>
          </w:p>
        </w:tc>
        <w:tc>
          <w:tcPr>
            <w:tcW w:w="1655" w:type="dxa"/>
          </w:tcPr>
          <w:p>
            <w:pPr>
              <w:pStyle w:val="TableParagraph"/>
              <w:spacing w:before="50"/>
              <w:ind w:right="25"/>
              <w:rPr>
                <w:sz w:val="22"/>
              </w:rPr>
            </w:pPr>
            <w:r>
              <w:rPr>
                <w:spacing w:val="-5"/>
                <w:sz w:val="22"/>
              </w:rPr>
              <w:t>36</w:t>
            </w:r>
          </w:p>
        </w:tc>
        <w:tc>
          <w:tcPr>
            <w:tcW w:w="2098" w:type="dxa"/>
          </w:tcPr>
          <w:p>
            <w:pPr>
              <w:pStyle w:val="TableParagraph"/>
              <w:spacing w:before="50"/>
              <w:ind w:left="571"/>
              <w:jc w:val="left"/>
              <w:rPr>
                <w:sz w:val="22"/>
              </w:rPr>
            </w:pPr>
            <w:r>
              <w:rPr>
                <w:sz w:val="22"/>
              </w:rPr>
              <w:t>20.0 </w:t>
            </w:r>
            <w:r>
              <w:rPr>
                <w:spacing w:val="-2"/>
                <w:sz w:val="22"/>
              </w:rPr>
              <w:t>(31.0)</w:t>
            </w:r>
          </w:p>
        </w:tc>
        <w:tc>
          <w:tcPr>
            <w:tcW w:w="1328" w:type="dxa"/>
          </w:tcPr>
          <w:p>
            <w:pPr>
              <w:pStyle w:val="TableParagraph"/>
              <w:spacing w:before="50"/>
              <w:ind w:left="55" w:right="2"/>
              <w:rPr>
                <w:sz w:val="22"/>
              </w:rPr>
            </w:pPr>
            <w:r>
              <w:rPr>
                <w:spacing w:val="-5"/>
                <w:sz w:val="22"/>
              </w:rPr>
              <w:t>MR</w:t>
            </w:r>
          </w:p>
        </w:tc>
      </w:tr>
      <w:tr>
        <w:trPr>
          <w:trHeight w:val="361" w:hRule="atLeast"/>
        </w:trPr>
        <w:tc>
          <w:tcPr>
            <w:tcW w:w="772" w:type="dxa"/>
          </w:tcPr>
          <w:p>
            <w:pPr>
              <w:pStyle w:val="TableParagraph"/>
              <w:spacing w:before="49"/>
              <w:ind w:left="96"/>
              <w:rPr>
                <w:sz w:val="22"/>
              </w:rPr>
            </w:pPr>
            <w:r>
              <w:rPr>
                <w:spacing w:val="-5"/>
                <w:sz w:val="22"/>
              </w:rPr>
              <w:t>3.</w:t>
            </w:r>
          </w:p>
        </w:tc>
        <w:tc>
          <w:tcPr>
            <w:tcW w:w="2139" w:type="dxa"/>
          </w:tcPr>
          <w:p>
            <w:pPr>
              <w:pStyle w:val="TableParagraph"/>
              <w:spacing w:before="49"/>
              <w:ind w:left="199"/>
              <w:jc w:val="left"/>
              <w:rPr>
                <w:sz w:val="22"/>
              </w:rPr>
            </w:pPr>
            <w:r>
              <w:rPr>
                <w:spacing w:val="-2"/>
                <w:sz w:val="22"/>
              </w:rPr>
              <w:t>YLM-</w:t>
            </w:r>
            <w:r>
              <w:rPr>
                <w:spacing w:val="-5"/>
                <w:sz w:val="22"/>
              </w:rPr>
              <w:t>161</w:t>
            </w:r>
          </w:p>
        </w:tc>
        <w:tc>
          <w:tcPr>
            <w:tcW w:w="2131" w:type="dxa"/>
          </w:tcPr>
          <w:p>
            <w:pPr>
              <w:pStyle w:val="TableParagraph"/>
              <w:spacing w:before="49"/>
              <w:ind w:left="416" w:right="2"/>
              <w:rPr>
                <w:sz w:val="22"/>
              </w:rPr>
            </w:pPr>
            <w:r>
              <w:rPr>
                <w:spacing w:val="-5"/>
                <w:sz w:val="22"/>
              </w:rPr>
              <w:t>41</w:t>
            </w:r>
          </w:p>
        </w:tc>
        <w:tc>
          <w:tcPr>
            <w:tcW w:w="1655" w:type="dxa"/>
          </w:tcPr>
          <w:p>
            <w:pPr>
              <w:pStyle w:val="TableParagraph"/>
              <w:spacing w:before="49"/>
              <w:ind w:right="25"/>
              <w:rPr>
                <w:sz w:val="22"/>
              </w:rPr>
            </w:pPr>
            <w:r>
              <w:rPr>
                <w:spacing w:val="-5"/>
                <w:sz w:val="22"/>
              </w:rPr>
              <w:t>40</w:t>
            </w:r>
          </w:p>
        </w:tc>
        <w:tc>
          <w:tcPr>
            <w:tcW w:w="2098" w:type="dxa"/>
          </w:tcPr>
          <w:p>
            <w:pPr>
              <w:pStyle w:val="TableParagraph"/>
              <w:spacing w:before="49"/>
              <w:ind w:left="626"/>
              <w:jc w:val="left"/>
              <w:rPr>
                <w:sz w:val="22"/>
              </w:rPr>
            </w:pPr>
            <w:r>
              <w:rPr>
                <w:sz w:val="22"/>
              </w:rPr>
              <w:t>8.6 </w:t>
            </w:r>
            <w:r>
              <w:rPr>
                <w:spacing w:val="-2"/>
                <w:sz w:val="22"/>
              </w:rPr>
              <w:t>(24.3)</w:t>
            </w:r>
          </w:p>
        </w:tc>
        <w:tc>
          <w:tcPr>
            <w:tcW w:w="1328" w:type="dxa"/>
          </w:tcPr>
          <w:p>
            <w:pPr>
              <w:pStyle w:val="TableParagraph"/>
              <w:spacing w:before="49"/>
              <w:ind w:left="55" w:right="2"/>
              <w:rPr>
                <w:sz w:val="22"/>
              </w:rPr>
            </w:pPr>
            <w:r>
              <w:rPr>
                <w:spacing w:val="-10"/>
                <w:sz w:val="22"/>
              </w:rPr>
              <w:t>R</w:t>
            </w:r>
          </w:p>
        </w:tc>
      </w:tr>
      <w:tr>
        <w:trPr>
          <w:trHeight w:val="361" w:hRule="atLeast"/>
        </w:trPr>
        <w:tc>
          <w:tcPr>
            <w:tcW w:w="772" w:type="dxa"/>
          </w:tcPr>
          <w:p>
            <w:pPr>
              <w:pStyle w:val="TableParagraph"/>
              <w:spacing w:before="50"/>
              <w:ind w:left="96"/>
              <w:rPr>
                <w:sz w:val="22"/>
              </w:rPr>
            </w:pPr>
            <w:r>
              <w:rPr>
                <w:spacing w:val="-5"/>
                <w:sz w:val="22"/>
              </w:rPr>
              <w:t>4.</w:t>
            </w:r>
          </w:p>
        </w:tc>
        <w:tc>
          <w:tcPr>
            <w:tcW w:w="2139" w:type="dxa"/>
          </w:tcPr>
          <w:p>
            <w:pPr>
              <w:pStyle w:val="TableParagraph"/>
              <w:spacing w:before="50"/>
              <w:ind w:left="199"/>
              <w:jc w:val="left"/>
              <w:rPr>
                <w:sz w:val="22"/>
              </w:rPr>
            </w:pPr>
            <w:r>
              <w:rPr>
                <w:spacing w:val="-2"/>
                <w:sz w:val="22"/>
              </w:rPr>
              <w:t>YLM-</w:t>
            </w:r>
            <w:r>
              <w:rPr>
                <w:spacing w:val="-5"/>
                <w:sz w:val="22"/>
              </w:rPr>
              <w:t>165</w:t>
            </w:r>
          </w:p>
        </w:tc>
        <w:tc>
          <w:tcPr>
            <w:tcW w:w="2131" w:type="dxa"/>
          </w:tcPr>
          <w:p>
            <w:pPr>
              <w:pStyle w:val="TableParagraph"/>
              <w:spacing w:before="50"/>
              <w:ind w:left="416" w:right="2"/>
              <w:rPr>
                <w:sz w:val="22"/>
              </w:rPr>
            </w:pPr>
            <w:r>
              <w:rPr>
                <w:spacing w:val="-5"/>
                <w:sz w:val="22"/>
              </w:rPr>
              <w:t>31</w:t>
            </w:r>
          </w:p>
        </w:tc>
        <w:tc>
          <w:tcPr>
            <w:tcW w:w="1655" w:type="dxa"/>
          </w:tcPr>
          <w:p>
            <w:pPr>
              <w:pStyle w:val="TableParagraph"/>
              <w:spacing w:before="50"/>
              <w:ind w:right="25"/>
              <w:rPr>
                <w:sz w:val="22"/>
              </w:rPr>
            </w:pPr>
            <w:r>
              <w:rPr>
                <w:spacing w:val="-5"/>
                <w:sz w:val="22"/>
              </w:rPr>
              <w:t>31</w:t>
            </w:r>
          </w:p>
        </w:tc>
        <w:tc>
          <w:tcPr>
            <w:tcW w:w="2098" w:type="dxa"/>
          </w:tcPr>
          <w:p>
            <w:pPr>
              <w:pStyle w:val="TableParagraph"/>
              <w:spacing w:before="50"/>
              <w:ind w:left="571"/>
              <w:jc w:val="left"/>
              <w:rPr>
                <w:sz w:val="22"/>
              </w:rPr>
            </w:pPr>
            <w:r>
              <w:rPr>
                <w:sz w:val="22"/>
              </w:rPr>
              <w:t>31.1 </w:t>
            </w:r>
            <w:r>
              <w:rPr>
                <w:spacing w:val="-2"/>
                <w:sz w:val="22"/>
              </w:rPr>
              <w:t>(35.5)</w:t>
            </w:r>
          </w:p>
        </w:tc>
        <w:tc>
          <w:tcPr>
            <w:tcW w:w="1328" w:type="dxa"/>
          </w:tcPr>
          <w:p>
            <w:pPr>
              <w:pStyle w:val="TableParagraph"/>
              <w:spacing w:before="50"/>
              <w:ind w:left="55" w:right="3"/>
              <w:rPr>
                <w:sz w:val="22"/>
              </w:rPr>
            </w:pPr>
            <w:r>
              <w:rPr>
                <w:spacing w:val="-10"/>
                <w:sz w:val="22"/>
              </w:rPr>
              <w:t>S</w:t>
            </w:r>
          </w:p>
        </w:tc>
      </w:tr>
      <w:tr>
        <w:trPr>
          <w:trHeight w:val="361" w:hRule="atLeast"/>
        </w:trPr>
        <w:tc>
          <w:tcPr>
            <w:tcW w:w="772" w:type="dxa"/>
          </w:tcPr>
          <w:p>
            <w:pPr>
              <w:pStyle w:val="TableParagraph"/>
              <w:spacing w:before="49"/>
              <w:ind w:left="96"/>
              <w:rPr>
                <w:sz w:val="22"/>
              </w:rPr>
            </w:pPr>
            <w:r>
              <w:rPr>
                <w:spacing w:val="-5"/>
                <w:sz w:val="22"/>
              </w:rPr>
              <w:t>5.</w:t>
            </w:r>
          </w:p>
        </w:tc>
        <w:tc>
          <w:tcPr>
            <w:tcW w:w="2139" w:type="dxa"/>
          </w:tcPr>
          <w:p>
            <w:pPr>
              <w:pStyle w:val="TableParagraph"/>
              <w:spacing w:before="49"/>
              <w:ind w:left="199"/>
              <w:jc w:val="left"/>
              <w:rPr>
                <w:sz w:val="22"/>
              </w:rPr>
            </w:pPr>
            <w:r>
              <w:rPr>
                <w:spacing w:val="-2"/>
                <w:sz w:val="22"/>
              </w:rPr>
              <w:t>YLM-</w:t>
            </w:r>
            <w:r>
              <w:rPr>
                <w:spacing w:val="-5"/>
                <w:sz w:val="22"/>
              </w:rPr>
              <w:t>171</w:t>
            </w:r>
          </w:p>
        </w:tc>
        <w:tc>
          <w:tcPr>
            <w:tcW w:w="2131" w:type="dxa"/>
          </w:tcPr>
          <w:p>
            <w:pPr>
              <w:pStyle w:val="TableParagraph"/>
              <w:spacing w:before="49"/>
              <w:ind w:left="416" w:right="2"/>
              <w:rPr>
                <w:sz w:val="22"/>
              </w:rPr>
            </w:pPr>
            <w:r>
              <w:rPr>
                <w:spacing w:val="-5"/>
                <w:sz w:val="22"/>
              </w:rPr>
              <w:t>45</w:t>
            </w:r>
          </w:p>
        </w:tc>
        <w:tc>
          <w:tcPr>
            <w:tcW w:w="1655" w:type="dxa"/>
          </w:tcPr>
          <w:p>
            <w:pPr>
              <w:pStyle w:val="TableParagraph"/>
              <w:spacing w:before="49"/>
              <w:ind w:right="25"/>
              <w:rPr>
                <w:sz w:val="22"/>
              </w:rPr>
            </w:pPr>
            <w:r>
              <w:rPr>
                <w:spacing w:val="-5"/>
                <w:sz w:val="22"/>
              </w:rPr>
              <w:t>42</w:t>
            </w:r>
          </w:p>
        </w:tc>
        <w:tc>
          <w:tcPr>
            <w:tcW w:w="2098" w:type="dxa"/>
          </w:tcPr>
          <w:p>
            <w:pPr>
              <w:pStyle w:val="TableParagraph"/>
              <w:spacing w:before="49"/>
              <w:ind w:left="571"/>
              <w:jc w:val="left"/>
              <w:rPr>
                <w:sz w:val="22"/>
              </w:rPr>
            </w:pPr>
            <w:r>
              <w:rPr>
                <w:sz w:val="22"/>
              </w:rPr>
              <w:t>29.5 </w:t>
            </w:r>
            <w:r>
              <w:rPr>
                <w:spacing w:val="-2"/>
                <w:sz w:val="22"/>
              </w:rPr>
              <w:t>(34.9)</w:t>
            </w:r>
          </w:p>
        </w:tc>
        <w:tc>
          <w:tcPr>
            <w:tcW w:w="1328" w:type="dxa"/>
          </w:tcPr>
          <w:p>
            <w:pPr>
              <w:pStyle w:val="TableParagraph"/>
              <w:spacing w:before="49"/>
              <w:ind w:left="55" w:right="2"/>
              <w:rPr>
                <w:sz w:val="22"/>
              </w:rPr>
            </w:pPr>
            <w:r>
              <w:rPr>
                <w:spacing w:val="-5"/>
                <w:sz w:val="22"/>
              </w:rPr>
              <w:t>MS</w:t>
            </w:r>
          </w:p>
        </w:tc>
      </w:tr>
      <w:tr>
        <w:trPr>
          <w:trHeight w:val="361" w:hRule="atLeast"/>
        </w:trPr>
        <w:tc>
          <w:tcPr>
            <w:tcW w:w="772" w:type="dxa"/>
          </w:tcPr>
          <w:p>
            <w:pPr>
              <w:pStyle w:val="TableParagraph"/>
              <w:spacing w:before="50"/>
              <w:ind w:left="96"/>
              <w:rPr>
                <w:sz w:val="22"/>
              </w:rPr>
            </w:pPr>
            <w:r>
              <w:rPr>
                <w:spacing w:val="-5"/>
                <w:sz w:val="22"/>
              </w:rPr>
              <w:t>6.</w:t>
            </w:r>
          </w:p>
        </w:tc>
        <w:tc>
          <w:tcPr>
            <w:tcW w:w="2139" w:type="dxa"/>
          </w:tcPr>
          <w:p>
            <w:pPr>
              <w:pStyle w:val="TableParagraph"/>
              <w:spacing w:before="50"/>
              <w:ind w:left="199"/>
              <w:jc w:val="left"/>
              <w:rPr>
                <w:sz w:val="22"/>
              </w:rPr>
            </w:pPr>
            <w:r>
              <w:rPr>
                <w:spacing w:val="-2"/>
                <w:sz w:val="22"/>
              </w:rPr>
              <w:t>TPTS-</w:t>
            </w:r>
            <w:r>
              <w:rPr>
                <w:spacing w:val="-5"/>
                <w:sz w:val="22"/>
              </w:rPr>
              <w:t>01</w:t>
            </w:r>
          </w:p>
        </w:tc>
        <w:tc>
          <w:tcPr>
            <w:tcW w:w="2131" w:type="dxa"/>
          </w:tcPr>
          <w:p>
            <w:pPr>
              <w:pStyle w:val="TableParagraph"/>
              <w:spacing w:before="50"/>
              <w:ind w:left="416" w:right="2"/>
              <w:rPr>
                <w:sz w:val="22"/>
              </w:rPr>
            </w:pPr>
            <w:r>
              <w:rPr>
                <w:spacing w:val="-5"/>
                <w:sz w:val="22"/>
              </w:rPr>
              <w:t>30</w:t>
            </w:r>
          </w:p>
        </w:tc>
        <w:tc>
          <w:tcPr>
            <w:tcW w:w="1655" w:type="dxa"/>
          </w:tcPr>
          <w:p>
            <w:pPr>
              <w:pStyle w:val="TableParagraph"/>
              <w:spacing w:before="50"/>
              <w:ind w:right="25"/>
              <w:rPr>
                <w:sz w:val="22"/>
              </w:rPr>
            </w:pPr>
            <w:r>
              <w:rPr>
                <w:spacing w:val="-5"/>
                <w:sz w:val="22"/>
              </w:rPr>
              <w:t>27</w:t>
            </w:r>
          </w:p>
        </w:tc>
        <w:tc>
          <w:tcPr>
            <w:tcW w:w="2098" w:type="dxa"/>
          </w:tcPr>
          <w:p>
            <w:pPr>
              <w:pStyle w:val="TableParagraph"/>
              <w:spacing w:before="50"/>
              <w:ind w:left="571"/>
              <w:jc w:val="left"/>
              <w:rPr>
                <w:sz w:val="22"/>
              </w:rPr>
            </w:pPr>
            <w:r>
              <w:rPr>
                <w:sz w:val="22"/>
              </w:rPr>
              <w:t>50.4 </w:t>
            </w:r>
            <w:r>
              <w:rPr>
                <w:spacing w:val="-2"/>
                <w:sz w:val="22"/>
              </w:rPr>
              <w:t>(42.2)</w:t>
            </w:r>
          </w:p>
        </w:tc>
        <w:tc>
          <w:tcPr>
            <w:tcW w:w="1328" w:type="dxa"/>
          </w:tcPr>
          <w:p>
            <w:pPr>
              <w:pStyle w:val="TableParagraph"/>
              <w:spacing w:before="50"/>
              <w:ind w:left="55" w:right="4"/>
              <w:rPr>
                <w:sz w:val="22"/>
              </w:rPr>
            </w:pPr>
            <w:r>
              <w:rPr>
                <w:spacing w:val="-5"/>
                <w:sz w:val="22"/>
              </w:rPr>
              <w:t>HS</w:t>
            </w:r>
          </w:p>
        </w:tc>
      </w:tr>
      <w:tr>
        <w:trPr>
          <w:trHeight w:val="360" w:hRule="atLeast"/>
        </w:trPr>
        <w:tc>
          <w:tcPr>
            <w:tcW w:w="772" w:type="dxa"/>
          </w:tcPr>
          <w:p>
            <w:pPr>
              <w:pStyle w:val="TableParagraph"/>
              <w:spacing w:before="49"/>
              <w:ind w:left="96"/>
              <w:rPr>
                <w:sz w:val="22"/>
              </w:rPr>
            </w:pPr>
            <w:r>
              <w:rPr>
                <w:spacing w:val="-5"/>
                <w:sz w:val="22"/>
              </w:rPr>
              <w:t>7.</w:t>
            </w:r>
          </w:p>
        </w:tc>
        <w:tc>
          <w:tcPr>
            <w:tcW w:w="2139" w:type="dxa"/>
          </w:tcPr>
          <w:p>
            <w:pPr>
              <w:pStyle w:val="TableParagraph"/>
              <w:spacing w:before="49"/>
              <w:ind w:left="199"/>
              <w:jc w:val="left"/>
              <w:rPr>
                <w:sz w:val="22"/>
              </w:rPr>
            </w:pPr>
            <w:r>
              <w:rPr>
                <w:spacing w:val="-2"/>
                <w:sz w:val="22"/>
              </w:rPr>
              <w:t>TPTS-</w:t>
            </w:r>
            <w:r>
              <w:rPr>
                <w:spacing w:val="-5"/>
                <w:sz w:val="22"/>
              </w:rPr>
              <w:t>06</w:t>
            </w:r>
          </w:p>
        </w:tc>
        <w:tc>
          <w:tcPr>
            <w:tcW w:w="2131" w:type="dxa"/>
          </w:tcPr>
          <w:p>
            <w:pPr>
              <w:pStyle w:val="TableParagraph"/>
              <w:spacing w:before="49"/>
              <w:ind w:left="416" w:right="2"/>
              <w:rPr>
                <w:sz w:val="22"/>
              </w:rPr>
            </w:pPr>
            <w:r>
              <w:rPr>
                <w:spacing w:val="-5"/>
                <w:sz w:val="22"/>
              </w:rPr>
              <w:t>45</w:t>
            </w:r>
          </w:p>
        </w:tc>
        <w:tc>
          <w:tcPr>
            <w:tcW w:w="1655" w:type="dxa"/>
          </w:tcPr>
          <w:p>
            <w:pPr>
              <w:pStyle w:val="TableParagraph"/>
              <w:spacing w:before="49"/>
              <w:ind w:right="25"/>
              <w:rPr>
                <w:sz w:val="22"/>
              </w:rPr>
            </w:pPr>
            <w:r>
              <w:rPr>
                <w:spacing w:val="-5"/>
                <w:sz w:val="22"/>
              </w:rPr>
              <w:t>38</w:t>
            </w:r>
          </w:p>
        </w:tc>
        <w:tc>
          <w:tcPr>
            <w:tcW w:w="2098" w:type="dxa"/>
          </w:tcPr>
          <w:p>
            <w:pPr>
              <w:pStyle w:val="TableParagraph"/>
              <w:spacing w:before="49"/>
              <w:ind w:left="571"/>
              <w:jc w:val="left"/>
              <w:rPr>
                <w:sz w:val="22"/>
              </w:rPr>
            </w:pPr>
            <w:r>
              <w:rPr>
                <w:sz w:val="22"/>
              </w:rPr>
              <w:t>22.9 </w:t>
            </w:r>
            <w:r>
              <w:rPr>
                <w:spacing w:val="-2"/>
                <w:sz w:val="22"/>
              </w:rPr>
              <w:t>(32.2)</w:t>
            </w:r>
          </w:p>
        </w:tc>
        <w:tc>
          <w:tcPr>
            <w:tcW w:w="1328" w:type="dxa"/>
          </w:tcPr>
          <w:p>
            <w:pPr>
              <w:pStyle w:val="TableParagraph"/>
              <w:spacing w:before="49"/>
              <w:ind w:left="55" w:right="2"/>
              <w:rPr>
                <w:sz w:val="22"/>
              </w:rPr>
            </w:pPr>
            <w:r>
              <w:rPr>
                <w:spacing w:val="-5"/>
                <w:sz w:val="22"/>
              </w:rPr>
              <w:t>MS</w:t>
            </w:r>
          </w:p>
        </w:tc>
      </w:tr>
      <w:tr>
        <w:trPr>
          <w:trHeight w:val="361" w:hRule="atLeast"/>
        </w:trPr>
        <w:tc>
          <w:tcPr>
            <w:tcW w:w="772" w:type="dxa"/>
          </w:tcPr>
          <w:p>
            <w:pPr>
              <w:pStyle w:val="TableParagraph"/>
              <w:spacing w:before="49"/>
              <w:ind w:left="96"/>
              <w:rPr>
                <w:sz w:val="22"/>
              </w:rPr>
            </w:pPr>
            <w:r>
              <w:rPr>
                <w:spacing w:val="-5"/>
                <w:sz w:val="22"/>
              </w:rPr>
              <w:t>8.</w:t>
            </w:r>
          </w:p>
        </w:tc>
        <w:tc>
          <w:tcPr>
            <w:tcW w:w="2139" w:type="dxa"/>
          </w:tcPr>
          <w:p>
            <w:pPr>
              <w:pStyle w:val="TableParagraph"/>
              <w:spacing w:before="49"/>
              <w:ind w:left="199"/>
              <w:jc w:val="left"/>
              <w:rPr>
                <w:sz w:val="22"/>
              </w:rPr>
            </w:pPr>
            <w:r>
              <w:rPr>
                <w:spacing w:val="-2"/>
                <w:sz w:val="22"/>
              </w:rPr>
              <w:t>TPTS-</w:t>
            </w:r>
            <w:r>
              <w:rPr>
                <w:spacing w:val="-5"/>
                <w:sz w:val="22"/>
              </w:rPr>
              <w:t>18</w:t>
            </w:r>
          </w:p>
        </w:tc>
        <w:tc>
          <w:tcPr>
            <w:tcW w:w="2131" w:type="dxa"/>
          </w:tcPr>
          <w:p>
            <w:pPr>
              <w:pStyle w:val="TableParagraph"/>
              <w:spacing w:before="49"/>
              <w:ind w:left="416" w:right="2"/>
              <w:rPr>
                <w:sz w:val="22"/>
              </w:rPr>
            </w:pPr>
            <w:r>
              <w:rPr>
                <w:spacing w:val="-5"/>
                <w:sz w:val="22"/>
              </w:rPr>
              <w:t>45</w:t>
            </w:r>
          </w:p>
        </w:tc>
        <w:tc>
          <w:tcPr>
            <w:tcW w:w="1655" w:type="dxa"/>
          </w:tcPr>
          <w:p>
            <w:pPr>
              <w:pStyle w:val="TableParagraph"/>
              <w:spacing w:before="49"/>
              <w:ind w:right="25"/>
              <w:rPr>
                <w:sz w:val="22"/>
              </w:rPr>
            </w:pPr>
            <w:r>
              <w:rPr>
                <w:spacing w:val="-5"/>
                <w:sz w:val="22"/>
              </w:rPr>
              <w:t>43</w:t>
            </w:r>
          </w:p>
        </w:tc>
        <w:tc>
          <w:tcPr>
            <w:tcW w:w="2098" w:type="dxa"/>
          </w:tcPr>
          <w:p>
            <w:pPr>
              <w:pStyle w:val="TableParagraph"/>
              <w:spacing w:before="49"/>
              <w:ind w:left="571"/>
              <w:jc w:val="left"/>
              <w:rPr>
                <w:sz w:val="22"/>
              </w:rPr>
            </w:pPr>
            <w:r>
              <w:rPr>
                <w:sz w:val="22"/>
              </w:rPr>
              <w:t>34.1 </w:t>
            </w:r>
            <w:r>
              <w:rPr>
                <w:spacing w:val="-2"/>
                <w:sz w:val="22"/>
              </w:rPr>
              <w:t>(36.7)</w:t>
            </w:r>
          </w:p>
        </w:tc>
        <w:tc>
          <w:tcPr>
            <w:tcW w:w="1328" w:type="dxa"/>
          </w:tcPr>
          <w:p>
            <w:pPr>
              <w:pStyle w:val="TableParagraph"/>
              <w:spacing w:before="49"/>
              <w:ind w:left="55" w:right="3"/>
              <w:rPr>
                <w:sz w:val="22"/>
              </w:rPr>
            </w:pPr>
            <w:r>
              <w:rPr>
                <w:spacing w:val="-10"/>
                <w:sz w:val="22"/>
              </w:rPr>
              <w:t>S</w:t>
            </w:r>
          </w:p>
        </w:tc>
      </w:tr>
      <w:tr>
        <w:trPr>
          <w:trHeight w:val="361" w:hRule="atLeast"/>
        </w:trPr>
        <w:tc>
          <w:tcPr>
            <w:tcW w:w="772" w:type="dxa"/>
          </w:tcPr>
          <w:p>
            <w:pPr>
              <w:pStyle w:val="TableParagraph"/>
              <w:spacing w:before="50"/>
              <w:ind w:left="96"/>
              <w:rPr>
                <w:sz w:val="22"/>
              </w:rPr>
            </w:pPr>
            <w:r>
              <w:rPr>
                <w:spacing w:val="-5"/>
                <w:sz w:val="22"/>
              </w:rPr>
              <w:t>9.</w:t>
            </w:r>
          </w:p>
        </w:tc>
        <w:tc>
          <w:tcPr>
            <w:tcW w:w="2139" w:type="dxa"/>
          </w:tcPr>
          <w:p>
            <w:pPr>
              <w:pStyle w:val="TableParagraph"/>
              <w:spacing w:before="50"/>
              <w:ind w:left="199"/>
              <w:jc w:val="left"/>
              <w:rPr>
                <w:sz w:val="22"/>
              </w:rPr>
            </w:pPr>
            <w:r>
              <w:rPr>
                <w:spacing w:val="-2"/>
                <w:sz w:val="22"/>
              </w:rPr>
              <w:t>TPTS-</w:t>
            </w:r>
            <w:r>
              <w:rPr>
                <w:spacing w:val="-5"/>
                <w:sz w:val="22"/>
              </w:rPr>
              <w:t>21</w:t>
            </w:r>
          </w:p>
        </w:tc>
        <w:tc>
          <w:tcPr>
            <w:tcW w:w="2131" w:type="dxa"/>
          </w:tcPr>
          <w:p>
            <w:pPr>
              <w:pStyle w:val="TableParagraph"/>
              <w:spacing w:before="50"/>
              <w:ind w:left="416" w:right="2"/>
              <w:rPr>
                <w:sz w:val="22"/>
              </w:rPr>
            </w:pPr>
            <w:r>
              <w:rPr>
                <w:spacing w:val="-5"/>
                <w:sz w:val="22"/>
              </w:rPr>
              <w:t>50</w:t>
            </w:r>
          </w:p>
        </w:tc>
        <w:tc>
          <w:tcPr>
            <w:tcW w:w="1655" w:type="dxa"/>
          </w:tcPr>
          <w:p>
            <w:pPr>
              <w:pStyle w:val="TableParagraph"/>
              <w:spacing w:before="50"/>
              <w:ind w:right="25"/>
              <w:rPr>
                <w:sz w:val="22"/>
              </w:rPr>
            </w:pPr>
            <w:r>
              <w:rPr>
                <w:spacing w:val="-5"/>
                <w:sz w:val="22"/>
              </w:rPr>
              <w:t>50</w:t>
            </w:r>
          </w:p>
        </w:tc>
        <w:tc>
          <w:tcPr>
            <w:tcW w:w="2098" w:type="dxa"/>
          </w:tcPr>
          <w:p>
            <w:pPr>
              <w:pStyle w:val="TableParagraph"/>
              <w:spacing w:before="50"/>
              <w:ind w:left="571"/>
              <w:jc w:val="left"/>
              <w:rPr>
                <w:sz w:val="22"/>
              </w:rPr>
            </w:pPr>
            <w:r>
              <w:rPr>
                <w:sz w:val="22"/>
              </w:rPr>
              <w:t>26.9 </w:t>
            </w:r>
            <w:r>
              <w:rPr>
                <w:spacing w:val="-2"/>
                <w:sz w:val="22"/>
              </w:rPr>
              <w:t>(34.0)</w:t>
            </w:r>
          </w:p>
        </w:tc>
        <w:tc>
          <w:tcPr>
            <w:tcW w:w="1328" w:type="dxa"/>
          </w:tcPr>
          <w:p>
            <w:pPr>
              <w:pStyle w:val="TableParagraph"/>
              <w:spacing w:before="50"/>
              <w:ind w:left="55" w:right="2"/>
              <w:rPr>
                <w:sz w:val="22"/>
              </w:rPr>
            </w:pPr>
            <w:r>
              <w:rPr>
                <w:spacing w:val="-5"/>
                <w:sz w:val="22"/>
              </w:rPr>
              <w:t>MS</w:t>
            </w:r>
          </w:p>
        </w:tc>
      </w:tr>
      <w:tr>
        <w:trPr>
          <w:trHeight w:val="361" w:hRule="atLeast"/>
        </w:trPr>
        <w:tc>
          <w:tcPr>
            <w:tcW w:w="772" w:type="dxa"/>
          </w:tcPr>
          <w:p>
            <w:pPr>
              <w:pStyle w:val="TableParagraph"/>
              <w:spacing w:before="49"/>
              <w:ind w:left="96"/>
              <w:rPr>
                <w:sz w:val="22"/>
              </w:rPr>
            </w:pPr>
            <w:r>
              <w:rPr>
                <w:spacing w:val="-5"/>
                <w:sz w:val="22"/>
              </w:rPr>
              <w:t>10.</w:t>
            </w:r>
          </w:p>
        </w:tc>
        <w:tc>
          <w:tcPr>
            <w:tcW w:w="2139" w:type="dxa"/>
          </w:tcPr>
          <w:p>
            <w:pPr>
              <w:pStyle w:val="TableParagraph"/>
              <w:spacing w:before="49"/>
              <w:ind w:left="199"/>
              <w:jc w:val="left"/>
              <w:rPr>
                <w:sz w:val="22"/>
              </w:rPr>
            </w:pPr>
            <w:r>
              <w:rPr>
                <w:spacing w:val="-2"/>
                <w:sz w:val="22"/>
              </w:rPr>
              <w:t>TPTS-</w:t>
            </w:r>
            <w:r>
              <w:rPr>
                <w:spacing w:val="-5"/>
                <w:sz w:val="22"/>
              </w:rPr>
              <w:t>24</w:t>
            </w:r>
          </w:p>
        </w:tc>
        <w:tc>
          <w:tcPr>
            <w:tcW w:w="2131" w:type="dxa"/>
          </w:tcPr>
          <w:p>
            <w:pPr>
              <w:pStyle w:val="TableParagraph"/>
              <w:spacing w:before="49"/>
              <w:ind w:left="416" w:right="2"/>
              <w:rPr>
                <w:sz w:val="22"/>
              </w:rPr>
            </w:pPr>
            <w:r>
              <w:rPr>
                <w:spacing w:val="-5"/>
                <w:sz w:val="22"/>
              </w:rPr>
              <w:t>46</w:t>
            </w:r>
          </w:p>
        </w:tc>
        <w:tc>
          <w:tcPr>
            <w:tcW w:w="1655" w:type="dxa"/>
          </w:tcPr>
          <w:p>
            <w:pPr>
              <w:pStyle w:val="TableParagraph"/>
              <w:spacing w:before="49"/>
              <w:ind w:right="25"/>
              <w:rPr>
                <w:sz w:val="22"/>
              </w:rPr>
            </w:pPr>
            <w:r>
              <w:rPr>
                <w:spacing w:val="-5"/>
                <w:sz w:val="22"/>
              </w:rPr>
              <w:t>45</w:t>
            </w:r>
          </w:p>
        </w:tc>
        <w:tc>
          <w:tcPr>
            <w:tcW w:w="2098" w:type="dxa"/>
          </w:tcPr>
          <w:p>
            <w:pPr>
              <w:pStyle w:val="TableParagraph"/>
              <w:spacing w:before="49"/>
              <w:ind w:left="571"/>
              <w:jc w:val="left"/>
              <w:rPr>
                <w:sz w:val="22"/>
              </w:rPr>
            </w:pPr>
            <w:r>
              <w:rPr>
                <w:sz w:val="22"/>
              </w:rPr>
              <w:t>41.5 </w:t>
            </w:r>
            <w:r>
              <w:rPr>
                <w:spacing w:val="-2"/>
                <w:sz w:val="22"/>
              </w:rPr>
              <w:t>(39.3)</w:t>
            </w:r>
          </w:p>
        </w:tc>
        <w:tc>
          <w:tcPr>
            <w:tcW w:w="1328" w:type="dxa"/>
          </w:tcPr>
          <w:p>
            <w:pPr>
              <w:pStyle w:val="TableParagraph"/>
              <w:spacing w:before="49"/>
              <w:ind w:left="55" w:right="3"/>
              <w:rPr>
                <w:sz w:val="22"/>
              </w:rPr>
            </w:pPr>
            <w:r>
              <w:rPr>
                <w:spacing w:val="-10"/>
                <w:sz w:val="22"/>
              </w:rPr>
              <w:t>S</w:t>
            </w:r>
          </w:p>
        </w:tc>
      </w:tr>
      <w:tr>
        <w:trPr>
          <w:trHeight w:val="361" w:hRule="atLeast"/>
        </w:trPr>
        <w:tc>
          <w:tcPr>
            <w:tcW w:w="772" w:type="dxa"/>
          </w:tcPr>
          <w:p>
            <w:pPr>
              <w:pStyle w:val="TableParagraph"/>
              <w:spacing w:before="50"/>
              <w:ind w:left="96"/>
              <w:rPr>
                <w:sz w:val="22"/>
              </w:rPr>
            </w:pPr>
            <w:r>
              <w:rPr>
                <w:spacing w:val="-5"/>
                <w:sz w:val="22"/>
              </w:rPr>
              <w:t>11.</w:t>
            </w:r>
          </w:p>
        </w:tc>
        <w:tc>
          <w:tcPr>
            <w:tcW w:w="2139" w:type="dxa"/>
          </w:tcPr>
          <w:p>
            <w:pPr>
              <w:pStyle w:val="TableParagraph"/>
              <w:spacing w:before="50"/>
              <w:ind w:left="199"/>
              <w:jc w:val="left"/>
              <w:rPr>
                <w:sz w:val="22"/>
              </w:rPr>
            </w:pPr>
            <w:r>
              <w:rPr>
                <w:spacing w:val="-2"/>
                <w:sz w:val="22"/>
              </w:rPr>
              <w:t>TPTS-</w:t>
            </w:r>
            <w:r>
              <w:rPr>
                <w:spacing w:val="-5"/>
                <w:sz w:val="22"/>
              </w:rPr>
              <w:t>29</w:t>
            </w:r>
          </w:p>
        </w:tc>
        <w:tc>
          <w:tcPr>
            <w:tcW w:w="2131" w:type="dxa"/>
          </w:tcPr>
          <w:p>
            <w:pPr>
              <w:pStyle w:val="TableParagraph"/>
              <w:spacing w:before="50"/>
              <w:ind w:left="416" w:right="2"/>
              <w:rPr>
                <w:sz w:val="22"/>
              </w:rPr>
            </w:pPr>
            <w:r>
              <w:rPr>
                <w:spacing w:val="-5"/>
                <w:sz w:val="22"/>
              </w:rPr>
              <w:t>30</w:t>
            </w:r>
          </w:p>
        </w:tc>
        <w:tc>
          <w:tcPr>
            <w:tcW w:w="1655" w:type="dxa"/>
          </w:tcPr>
          <w:p>
            <w:pPr>
              <w:pStyle w:val="TableParagraph"/>
              <w:spacing w:before="50"/>
              <w:ind w:right="25"/>
              <w:rPr>
                <w:sz w:val="22"/>
              </w:rPr>
            </w:pPr>
            <w:r>
              <w:rPr>
                <w:spacing w:val="-5"/>
                <w:sz w:val="22"/>
              </w:rPr>
              <w:t>30</w:t>
            </w:r>
          </w:p>
        </w:tc>
        <w:tc>
          <w:tcPr>
            <w:tcW w:w="2098" w:type="dxa"/>
          </w:tcPr>
          <w:p>
            <w:pPr>
              <w:pStyle w:val="TableParagraph"/>
              <w:spacing w:before="50"/>
              <w:ind w:left="571"/>
              <w:jc w:val="left"/>
              <w:rPr>
                <w:sz w:val="22"/>
              </w:rPr>
            </w:pPr>
            <w:r>
              <w:rPr>
                <w:sz w:val="22"/>
              </w:rPr>
              <w:t>11.7 </w:t>
            </w:r>
            <w:r>
              <w:rPr>
                <w:spacing w:val="-2"/>
                <w:sz w:val="22"/>
              </w:rPr>
              <w:t>(26.5)</w:t>
            </w:r>
          </w:p>
        </w:tc>
        <w:tc>
          <w:tcPr>
            <w:tcW w:w="1328" w:type="dxa"/>
          </w:tcPr>
          <w:p>
            <w:pPr>
              <w:pStyle w:val="TableParagraph"/>
              <w:spacing w:before="50"/>
              <w:ind w:left="55" w:right="2"/>
              <w:rPr>
                <w:sz w:val="22"/>
              </w:rPr>
            </w:pPr>
            <w:r>
              <w:rPr>
                <w:spacing w:val="-5"/>
                <w:sz w:val="22"/>
              </w:rPr>
              <w:t>MR</w:t>
            </w:r>
          </w:p>
        </w:tc>
      </w:tr>
      <w:tr>
        <w:trPr>
          <w:trHeight w:val="360" w:hRule="atLeast"/>
        </w:trPr>
        <w:tc>
          <w:tcPr>
            <w:tcW w:w="772" w:type="dxa"/>
          </w:tcPr>
          <w:p>
            <w:pPr>
              <w:pStyle w:val="TableParagraph"/>
              <w:spacing w:before="49"/>
              <w:ind w:left="96"/>
              <w:rPr>
                <w:sz w:val="22"/>
              </w:rPr>
            </w:pPr>
            <w:r>
              <w:rPr>
                <w:spacing w:val="-5"/>
                <w:sz w:val="22"/>
              </w:rPr>
              <w:t>12.</w:t>
            </w:r>
          </w:p>
        </w:tc>
        <w:tc>
          <w:tcPr>
            <w:tcW w:w="2139" w:type="dxa"/>
          </w:tcPr>
          <w:p>
            <w:pPr>
              <w:pStyle w:val="TableParagraph"/>
              <w:spacing w:before="49"/>
              <w:ind w:left="199"/>
              <w:jc w:val="left"/>
              <w:rPr>
                <w:sz w:val="22"/>
              </w:rPr>
            </w:pPr>
            <w:r>
              <w:rPr>
                <w:spacing w:val="-2"/>
                <w:sz w:val="22"/>
              </w:rPr>
              <w:t>TPTS-</w:t>
            </w:r>
            <w:r>
              <w:rPr>
                <w:spacing w:val="-5"/>
                <w:sz w:val="22"/>
              </w:rPr>
              <w:t>40</w:t>
            </w:r>
          </w:p>
        </w:tc>
        <w:tc>
          <w:tcPr>
            <w:tcW w:w="2131" w:type="dxa"/>
          </w:tcPr>
          <w:p>
            <w:pPr>
              <w:pStyle w:val="TableParagraph"/>
              <w:spacing w:before="49"/>
              <w:ind w:left="416" w:right="2"/>
              <w:rPr>
                <w:sz w:val="22"/>
              </w:rPr>
            </w:pPr>
            <w:r>
              <w:rPr>
                <w:spacing w:val="-5"/>
                <w:sz w:val="22"/>
              </w:rPr>
              <w:t>30</w:t>
            </w:r>
          </w:p>
        </w:tc>
        <w:tc>
          <w:tcPr>
            <w:tcW w:w="1655" w:type="dxa"/>
          </w:tcPr>
          <w:p>
            <w:pPr>
              <w:pStyle w:val="TableParagraph"/>
              <w:spacing w:before="49"/>
              <w:ind w:right="25"/>
              <w:rPr>
                <w:sz w:val="22"/>
              </w:rPr>
            </w:pPr>
            <w:r>
              <w:rPr>
                <w:spacing w:val="-5"/>
                <w:sz w:val="22"/>
              </w:rPr>
              <w:t>29</w:t>
            </w:r>
          </w:p>
        </w:tc>
        <w:tc>
          <w:tcPr>
            <w:tcW w:w="2098" w:type="dxa"/>
          </w:tcPr>
          <w:p>
            <w:pPr>
              <w:pStyle w:val="TableParagraph"/>
              <w:spacing w:before="49"/>
              <w:ind w:left="626"/>
              <w:jc w:val="left"/>
              <w:rPr>
                <w:sz w:val="22"/>
              </w:rPr>
            </w:pPr>
            <w:r>
              <w:rPr>
                <w:sz w:val="22"/>
              </w:rPr>
              <w:t>6.6 </w:t>
            </w:r>
            <w:r>
              <w:rPr>
                <w:spacing w:val="-2"/>
                <w:sz w:val="22"/>
              </w:rPr>
              <w:t>(22.4)</w:t>
            </w:r>
          </w:p>
        </w:tc>
        <w:tc>
          <w:tcPr>
            <w:tcW w:w="1328" w:type="dxa"/>
          </w:tcPr>
          <w:p>
            <w:pPr>
              <w:pStyle w:val="TableParagraph"/>
              <w:spacing w:before="49"/>
              <w:ind w:left="55" w:right="2"/>
              <w:rPr>
                <w:sz w:val="22"/>
              </w:rPr>
            </w:pPr>
            <w:r>
              <w:rPr>
                <w:spacing w:val="-10"/>
                <w:sz w:val="22"/>
              </w:rPr>
              <w:t>R</w:t>
            </w:r>
          </w:p>
        </w:tc>
      </w:tr>
      <w:tr>
        <w:trPr>
          <w:trHeight w:val="361" w:hRule="atLeast"/>
        </w:trPr>
        <w:tc>
          <w:tcPr>
            <w:tcW w:w="772" w:type="dxa"/>
          </w:tcPr>
          <w:p>
            <w:pPr>
              <w:pStyle w:val="TableParagraph"/>
              <w:spacing w:before="49"/>
              <w:ind w:left="96"/>
              <w:rPr>
                <w:sz w:val="22"/>
              </w:rPr>
            </w:pPr>
            <w:r>
              <w:rPr>
                <w:spacing w:val="-5"/>
                <w:sz w:val="22"/>
              </w:rPr>
              <w:t>13.</w:t>
            </w:r>
          </w:p>
        </w:tc>
        <w:tc>
          <w:tcPr>
            <w:tcW w:w="2139" w:type="dxa"/>
          </w:tcPr>
          <w:p>
            <w:pPr>
              <w:pStyle w:val="TableParagraph"/>
              <w:spacing w:before="49"/>
              <w:ind w:left="199"/>
              <w:jc w:val="left"/>
              <w:rPr>
                <w:sz w:val="22"/>
              </w:rPr>
            </w:pPr>
            <w:r>
              <w:rPr>
                <w:spacing w:val="-2"/>
                <w:sz w:val="22"/>
              </w:rPr>
              <w:t>TPTS-</w:t>
            </w:r>
            <w:r>
              <w:rPr>
                <w:spacing w:val="-5"/>
                <w:sz w:val="22"/>
              </w:rPr>
              <w:t>45</w:t>
            </w:r>
          </w:p>
        </w:tc>
        <w:tc>
          <w:tcPr>
            <w:tcW w:w="2131" w:type="dxa"/>
          </w:tcPr>
          <w:p>
            <w:pPr>
              <w:pStyle w:val="TableParagraph"/>
              <w:spacing w:before="49"/>
              <w:ind w:left="416" w:right="2"/>
              <w:rPr>
                <w:sz w:val="22"/>
              </w:rPr>
            </w:pPr>
            <w:r>
              <w:rPr>
                <w:spacing w:val="-5"/>
                <w:sz w:val="22"/>
              </w:rPr>
              <w:t>40</w:t>
            </w:r>
          </w:p>
        </w:tc>
        <w:tc>
          <w:tcPr>
            <w:tcW w:w="1655" w:type="dxa"/>
          </w:tcPr>
          <w:p>
            <w:pPr>
              <w:pStyle w:val="TableParagraph"/>
              <w:spacing w:before="49"/>
              <w:ind w:right="25"/>
              <w:rPr>
                <w:sz w:val="22"/>
              </w:rPr>
            </w:pPr>
            <w:r>
              <w:rPr>
                <w:spacing w:val="-5"/>
                <w:sz w:val="22"/>
              </w:rPr>
              <w:t>40</w:t>
            </w:r>
          </w:p>
        </w:tc>
        <w:tc>
          <w:tcPr>
            <w:tcW w:w="2098" w:type="dxa"/>
          </w:tcPr>
          <w:p>
            <w:pPr>
              <w:pStyle w:val="TableParagraph"/>
              <w:spacing w:before="49"/>
              <w:ind w:left="571"/>
              <w:jc w:val="left"/>
              <w:rPr>
                <w:sz w:val="22"/>
              </w:rPr>
            </w:pPr>
            <w:r>
              <w:rPr>
                <w:sz w:val="22"/>
              </w:rPr>
              <w:t>40.2 </w:t>
            </w:r>
            <w:r>
              <w:rPr>
                <w:spacing w:val="-2"/>
                <w:sz w:val="22"/>
              </w:rPr>
              <w:t>(38.8)</w:t>
            </w:r>
          </w:p>
        </w:tc>
        <w:tc>
          <w:tcPr>
            <w:tcW w:w="1328" w:type="dxa"/>
          </w:tcPr>
          <w:p>
            <w:pPr>
              <w:pStyle w:val="TableParagraph"/>
              <w:spacing w:before="49"/>
              <w:ind w:left="55" w:right="3"/>
              <w:rPr>
                <w:sz w:val="22"/>
              </w:rPr>
            </w:pPr>
            <w:r>
              <w:rPr>
                <w:spacing w:val="-10"/>
                <w:sz w:val="22"/>
              </w:rPr>
              <w:t>S</w:t>
            </w:r>
          </w:p>
        </w:tc>
      </w:tr>
      <w:tr>
        <w:trPr>
          <w:trHeight w:val="361" w:hRule="atLeast"/>
        </w:trPr>
        <w:tc>
          <w:tcPr>
            <w:tcW w:w="772" w:type="dxa"/>
          </w:tcPr>
          <w:p>
            <w:pPr>
              <w:pStyle w:val="TableParagraph"/>
              <w:spacing w:before="50"/>
              <w:ind w:left="96"/>
              <w:rPr>
                <w:sz w:val="22"/>
              </w:rPr>
            </w:pPr>
            <w:r>
              <w:rPr>
                <w:spacing w:val="-5"/>
                <w:sz w:val="22"/>
              </w:rPr>
              <w:t>14.</w:t>
            </w:r>
          </w:p>
        </w:tc>
        <w:tc>
          <w:tcPr>
            <w:tcW w:w="2139" w:type="dxa"/>
          </w:tcPr>
          <w:p>
            <w:pPr>
              <w:pStyle w:val="TableParagraph"/>
              <w:spacing w:before="50"/>
              <w:ind w:left="199"/>
              <w:jc w:val="left"/>
              <w:rPr>
                <w:sz w:val="22"/>
              </w:rPr>
            </w:pPr>
            <w:r>
              <w:rPr>
                <w:spacing w:val="-2"/>
                <w:sz w:val="22"/>
              </w:rPr>
              <w:t>TPTS-</w:t>
            </w:r>
            <w:r>
              <w:rPr>
                <w:spacing w:val="-5"/>
                <w:sz w:val="22"/>
              </w:rPr>
              <w:t>46</w:t>
            </w:r>
          </w:p>
        </w:tc>
        <w:tc>
          <w:tcPr>
            <w:tcW w:w="2131" w:type="dxa"/>
          </w:tcPr>
          <w:p>
            <w:pPr>
              <w:pStyle w:val="TableParagraph"/>
              <w:spacing w:before="50"/>
              <w:ind w:left="416" w:right="2"/>
              <w:rPr>
                <w:sz w:val="22"/>
              </w:rPr>
            </w:pPr>
            <w:r>
              <w:rPr>
                <w:spacing w:val="-5"/>
                <w:sz w:val="22"/>
              </w:rPr>
              <w:t>28</w:t>
            </w:r>
          </w:p>
        </w:tc>
        <w:tc>
          <w:tcPr>
            <w:tcW w:w="1655" w:type="dxa"/>
          </w:tcPr>
          <w:p>
            <w:pPr>
              <w:pStyle w:val="TableParagraph"/>
              <w:spacing w:before="50"/>
              <w:ind w:right="25"/>
              <w:rPr>
                <w:sz w:val="22"/>
              </w:rPr>
            </w:pPr>
            <w:r>
              <w:rPr>
                <w:spacing w:val="-5"/>
                <w:sz w:val="22"/>
              </w:rPr>
              <w:t>27</w:t>
            </w:r>
          </w:p>
        </w:tc>
        <w:tc>
          <w:tcPr>
            <w:tcW w:w="2098" w:type="dxa"/>
          </w:tcPr>
          <w:p>
            <w:pPr>
              <w:pStyle w:val="TableParagraph"/>
              <w:spacing w:before="50"/>
              <w:ind w:left="571"/>
              <w:jc w:val="left"/>
              <w:rPr>
                <w:sz w:val="22"/>
              </w:rPr>
            </w:pPr>
            <w:r>
              <w:rPr>
                <w:sz w:val="22"/>
              </w:rPr>
              <w:t>40.1 </w:t>
            </w:r>
            <w:r>
              <w:rPr>
                <w:spacing w:val="-2"/>
                <w:sz w:val="22"/>
              </w:rPr>
              <w:t>(38.8)</w:t>
            </w:r>
          </w:p>
        </w:tc>
        <w:tc>
          <w:tcPr>
            <w:tcW w:w="1328" w:type="dxa"/>
          </w:tcPr>
          <w:p>
            <w:pPr>
              <w:pStyle w:val="TableParagraph"/>
              <w:spacing w:before="50"/>
              <w:ind w:left="55" w:right="3"/>
              <w:rPr>
                <w:sz w:val="22"/>
              </w:rPr>
            </w:pPr>
            <w:r>
              <w:rPr>
                <w:spacing w:val="-10"/>
                <w:sz w:val="22"/>
              </w:rPr>
              <w:t>S</w:t>
            </w:r>
          </w:p>
        </w:tc>
      </w:tr>
      <w:tr>
        <w:trPr>
          <w:trHeight w:val="361" w:hRule="atLeast"/>
        </w:trPr>
        <w:tc>
          <w:tcPr>
            <w:tcW w:w="772" w:type="dxa"/>
          </w:tcPr>
          <w:p>
            <w:pPr>
              <w:pStyle w:val="TableParagraph"/>
              <w:spacing w:before="49"/>
              <w:ind w:left="96"/>
              <w:rPr>
                <w:sz w:val="22"/>
              </w:rPr>
            </w:pPr>
            <w:r>
              <w:rPr>
                <w:spacing w:val="-5"/>
                <w:sz w:val="22"/>
              </w:rPr>
              <w:t>15.</w:t>
            </w:r>
          </w:p>
        </w:tc>
        <w:tc>
          <w:tcPr>
            <w:tcW w:w="2139" w:type="dxa"/>
          </w:tcPr>
          <w:p>
            <w:pPr>
              <w:pStyle w:val="TableParagraph"/>
              <w:spacing w:before="49"/>
              <w:ind w:left="199"/>
              <w:jc w:val="left"/>
              <w:rPr>
                <w:sz w:val="22"/>
              </w:rPr>
            </w:pPr>
            <w:r>
              <w:rPr>
                <w:spacing w:val="-2"/>
                <w:sz w:val="22"/>
              </w:rPr>
              <w:t>Swetha</w:t>
            </w:r>
          </w:p>
        </w:tc>
        <w:tc>
          <w:tcPr>
            <w:tcW w:w="2131" w:type="dxa"/>
          </w:tcPr>
          <w:p>
            <w:pPr>
              <w:pStyle w:val="TableParagraph"/>
              <w:spacing w:before="49"/>
              <w:ind w:left="416" w:right="2"/>
              <w:rPr>
                <w:sz w:val="22"/>
              </w:rPr>
            </w:pPr>
            <w:r>
              <w:rPr>
                <w:spacing w:val="-5"/>
                <w:sz w:val="22"/>
              </w:rPr>
              <w:t>31</w:t>
            </w:r>
          </w:p>
        </w:tc>
        <w:tc>
          <w:tcPr>
            <w:tcW w:w="1655" w:type="dxa"/>
          </w:tcPr>
          <w:p>
            <w:pPr>
              <w:pStyle w:val="TableParagraph"/>
              <w:spacing w:before="49"/>
              <w:ind w:right="25"/>
              <w:rPr>
                <w:sz w:val="22"/>
              </w:rPr>
            </w:pPr>
            <w:r>
              <w:rPr>
                <w:spacing w:val="-5"/>
                <w:sz w:val="22"/>
              </w:rPr>
              <w:t>30</w:t>
            </w:r>
          </w:p>
        </w:tc>
        <w:tc>
          <w:tcPr>
            <w:tcW w:w="2098" w:type="dxa"/>
          </w:tcPr>
          <w:p>
            <w:pPr>
              <w:pStyle w:val="TableParagraph"/>
              <w:spacing w:before="49"/>
              <w:ind w:left="571"/>
              <w:jc w:val="left"/>
              <w:rPr>
                <w:sz w:val="22"/>
              </w:rPr>
            </w:pPr>
            <w:r>
              <w:rPr>
                <w:sz w:val="22"/>
              </w:rPr>
              <w:t>37.0 </w:t>
            </w:r>
            <w:r>
              <w:rPr>
                <w:spacing w:val="-2"/>
                <w:sz w:val="22"/>
              </w:rPr>
              <w:t>(37.7)</w:t>
            </w:r>
          </w:p>
        </w:tc>
        <w:tc>
          <w:tcPr>
            <w:tcW w:w="1328" w:type="dxa"/>
          </w:tcPr>
          <w:p>
            <w:pPr>
              <w:pStyle w:val="TableParagraph"/>
              <w:spacing w:before="49"/>
              <w:ind w:left="55" w:right="3"/>
              <w:rPr>
                <w:sz w:val="22"/>
              </w:rPr>
            </w:pPr>
            <w:r>
              <w:rPr>
                <w:spacing w:val="-10"/>
                <w:sz w:val="22"/>
              </w:rPr>
              <w:t>S</w:t>
            </w:r>
          </w:p>
        </w:tc>
      </w:tr>
      <w:tr>
        <w:trPr>
          <w:trHeight w:val="361" w:hRule="atLeast"/>
        </w:trPr>
        <w:tc>
          <w:tcPr>
            <w:tcW w:w="772" w:type="dxa"/>
          </w:tcPr>
          <w:p>
            <w:pPr>
              <w:pStyle w:val="TableParagraph"/>
              <w:spacing w:before="50"/>
              <w:ind w:left="96"/>
              <w:rPr>
                <w:sz w:val="22"/>
              </w:rPr>
            </w:pPr>
            <w:r>
              <w:rPr>
                <w:spacing w:val="-5"/>
                <w:sz w:val="22"/>
              </w:rPr>
              <w:t>16.</w:t>
            </w:r>
          </w:p>
        </w:tc>
        <w:tc>
          <w:tcPr>
            <w:tcW w:w="2139" w:type="dxa"/>
          </w:tcPr>
          <w:p>
            <w:pPr>
              <w:pStyle w:val="TableParagraph"/>
              <w:spacing w:before="50"/>
              <w:ind w:left="199"/>
              <w:jc w:val="left"/>
              <w:rPr>
                <w:sz w:val="22"/>
              </w:rPr>
            </w:pPr>
            <w:r>
              <w:rPr>
                <w:spacing w:val="-2"/>
                <w:sz w:val="22"/>
              </w:rPr>
              <w:t>Madhavi</w:t>
            </w:r>
          </w:p>
        </w:tc>
        <w:tc>
          <w:tcPr>
            <w:tcW w:w="2131" w:type="dxa"/>
          </w:tcPr>
          <w:p>
            <w:pPr>
              <w:pStyle w:val="TableParagraph"/>
              <w:spacing w:before="50"/>
              <w:ind w:left="416" w:right="2"/>
              <w:rPr>
                <w:sz w:val="22"/>
              </w:rPr>
            </w:pPr>
            <w:r>
              <w:rPr>
                <w:spacing w:val="-5"/>
                <w:sz w:val="22"/>
              </w:rPr>
              <w:t>30</w:t>
            </w:r>
          </w:p>
        </w:tc>
        <w:tc>
          <w:tcPr>
            <w:tcW w:w="1655" w:type="dxa"/>
          </w:tcPr>
          <w:p>
            <w:pPr>
              <w:pStyle w:val="TableParagraph"/>
              <w:spacing w:before="50"/>
              <w:ind w:right="25"/>
              <w:rPr>
                <w:sz w:val="22"/>
              </w:rPr>
            </w:pPr>
            <w:r>
              <w:rPr>
                <w:spacing w:val="-5"/>
                <w:sz w:val="22"/>
              </w:rPr>
              <w:t>24</w:t>
            </w:r>
          </w:p>
        </w:tc>
        <w:tc>
          <w:tcPr>
            <w:tcW w:w="2098" w:type="dxa"/>
          </w:tcPr>
          <w:p>
            <w:pPr>
              <w:pStyle w:val="TableParagraph"/>
              <w:spacing w:before="50"/>
              <w:ind w:left="626"/>
              <w:jc w:val="left"/>
              <w:rPr>
                <w:sz w:val="22"/>
              </w:rPr>
            </w:pPr>
            <w:r>
              <w:rPr>
                <w:sz w:val="22"/>
              </w:rPr>
              <w:t>9.6 </w:t>
            </w:r>
            <w:r>
              <w:rPr>
                <w:spacing w:val="-2"/>
                <w:sz w:val="22"/>
              </w:rPr>
              <w:t>(24.9)</w:t>
            </w:r>
          </w:p>
        </w:tc>
        <w:tc>
          <w:tcPr>
            <w:tcW w:w="1328" w:type="dxa"/>
          </w:tcPr>
          <w:p>
            <w:pPr>
              <w:pStyle w:val="TableParagraph"/>
              <w:spacing w:before="50"/>
              <w:ind w:left="55" w:right="2"/>
              <w:rPr>
                <w:sz w:val="22"/>
              </w:rPr>
            </w:pPr>
            <w:r>
              <w:rPr>
                <w:spacing w:val="-10"/>
                <w:sz w:val="22"/>
              </w:rPr>
              <w:t>R</w:t>
            </w:r>
          </w:p>
        </w:tc>
      </w:tr>
      <w:tr>
        <w:trPr>
          <w:trHeight w:val="360" w:hRule="atLeast"/>
        </w:trPr>
        <w:tc>
          <w:tcPr>
            <w:tcW w:w="772" w:type="dxa"/>
          </w:tcPr>
          <w:p>
            <w:pPr>
              <w:pStyle w:val="TableParagraph"/>
              <w:spacing w:before="49"/>
              <w:ind w:left="96"/>
              <w:rPr>
                <w:sz w:val="22"/>
              </w:rPr>
            </w:pPr>
            <w:r>
              <w:rPr>
                <w:spacing w:val="-5"/>
                <w:sz w:val="22"/>
              </w:rPr>
              <w:t>17.</w:t>
            </w:r>
          </w:p>
        </w:tc>
        <w:tc>
          <w:tcPr>
            <w:tcW w:w="2139" w:type="dxa"/>
          </w:tcPr>
          <w:p>
            <w:pPr>
              <w:pStyle w:val="TableParagraph"/>
              <w:spacing w:before="49"/>
              <w:ind w:left="199"/>
              <w:jc w:val="left"/>
              <w:rPr>
                <w:sz w:val="22"/>
              </w:rPr>
            </w:pPr>
            <w:r>
              <w:rPr>
                <w:spacing w:val="-4"/>
                <w:sz w:val="22"/>
              </w:rPr>
              <w:t>Gowri</w:t>
            </w:r>
          </w:p>
        </w:tc>
        <w:tc>
          <w:tcPr>
            <w:tcW w:w="2131" w:type="dxa"/>
          </w:tcPr>
          <w:p>
            <w:pPr>
              <w:pStyle w:val="TableParagraph"/>
              <w:spacing w:before="49"/>
              <w:ind w:left="416" w:right="2"/>
              <w:rPr>
                <w:sz w:val="22"/>
              </w:rPr>
            </w:pPr>
            <w:r>
              <w:rPr>
                <w:spacing w:val="-5"/>
                <w:sz w:val="22"/>
              </w:rPr>
              <w:t>35</w:t>
            </w:r>
          </w:p>
        </w:tc>
        <w:tc>
          <w:tcPr>
            <w:tcW w:w="1655" w:type="dxa"/>
          </w:tcPr>
          <w:p>
            <w:pPr>
              <w:pStyle w:val="TableParagraph"/>
              <w:spacing w:before="49"/>
              <w:ind w:right="25"/>
              <w:rPr>
                <w:sz w:val="22"/>
              </w:rPr>
            </w:pPr>
            <w:r>
              <w:rPr>
                <w:spacing w:val="-5"/>
                <w:sz w:val="22"/>
              </w:rPr>
              <w:t>31</w:t>
            </w:r>
          </w:p>
        </w:tc>
        <w:tc>
          <w:tcPr>
            <w:tcW w:w="2098" w:type="dxa"/>
          </w:tcPr>
          <w:p>
            <w:pPr>
              <w:pStyle w:val="TableParagraph"/>
              <w:spacing w:before="49"/>
              <w:ind w:left="571"/>
              <w:jc w:val="left"/>
              <w:rPr>
                <w:sz w:val="22"/>
              </w:rPr>
            </w:pPr>
            <w:r>
              <w:rPr>
                <w:sz w:val="22"/>
              </w:rPr>
              <w:t>51.3 </w:t>
            </w:r>
            <w:r>
              <w:rPr>
                <w:spacing w:val="-2"/>
                <w:sz w:val="22"/>
              </w:rPr>
              <w:t>(42.5)</w:t>
            </w:r>
          </w:p>
        </w:tc>
        <w:tc>
          <w:tcPr>
            <w:tcW w:w="1328" w:type="dxa"/>
          </w:tcPr>
          <w:p>
            <w:pPr>
              <w:pStyle w:val="TableParagraph"/>
              <w:spacing w:before="49"/>
              <w:ind w:left="55" w:right="4"/>
              <w:rPr>
                <w:sz w:val="22"/>
              </w:rPr>
            </w:pPr>
            <w:r>
              <w:rPr>
                <w:spacing w:val="-5"/>
                <w:sz w:val="22"/>
              </w:rPr>
              <w:t>HS</w:t>
            </w:r>
          </w:p>
        </w:tc>
      </w:tr>
      <w:tr>
        <w:trPr>
          <w:trHeight w:val="361" w:hRule="atLeast"/>
        </w:trPr>
        <w:tc>
          <w:tcPr>
            <w:tcW w:w="772" w:type="dxa"/>
          </w:tcPr>
          <w:p>
            <w:pPr>
              <w:pStyle w:val="TableParagraph"/>
              <w:spacing w:before="49"/>
              <w:ind w:left="96"/>
              <w:rPr>
                <w:sz w:val="22"/>
              </w:rPr>
            </w:pPr>
            <w:r>
              <w:rPr>
                <w:spacing w:val="-5"/>
                <w:sz w:val="22"/>
              </w:rPr>
              <w:t>18.</w:t>
            </w:r>
          </w:p>
        </w:tc>
        <w:tc>
          <w:tcPr>
            <w:tcW w:w="2139" w:type="dxa"/>
          </w:tcPr>
          <w:p>
            <w:pPr>
              <w:pStyle w:val="TableParagraph"/>
              <w:spacing w:before="49"/>
              <w:ind w:left="199"/>
              <w:jc w:val="left"/>
              <w:rPr>
                <w:sz w:val="22"/>
              </w:rPr>
            </w:pPr>
            <w:r>
              <w:rPr>
                <w:spacing w:val="-2"/>
                <w:sz w:val="22"/>
              </w:rPr>
              <w:t>Chandna</w:t>
            </w:r>
          </w:p>
        </w:tc>
        <w:tc>
          <w:tcPr>
            <w:tcW w:w="2131" w:type="dxa"/>
          </w:tcPr>
          <w:p>
            <w:pPr>
              <w:pStyle w:val="TableParagraph"/>
              <w:spacing w:before="49"/>
              <w:ind w:left="416" w:right="2"/>
              <w:rPr>
                <w:sz w:val="22"/>
              </w:rPr>
            </w:pPr>
            <w:r>
              <w:rPr>
                <w:spacing w:val="-5"/>
                <w:sz w:val="22"/>
              </w:rPr>
              <w:t>33</w:t>
            </w:r>
          </w:p>
        </w:tc>
        <w:tc>
          <w:tcPr>
            <w:tcW w:w="1655" w:type="dxa"/>
          </w:tcPr>
          <w:p>
            <w:pPr>
              <w:pStyle w:val="TableParagraph"/>
              <w:spacing w:before="49"/>
              <w:ind w:right="25"/>
              <w:rPr>
                <w:sz w:val="22"/>
              </w:rPr>
            </w:pPr>
            <w:r>
              <w:rPr>
                <w:spacing w:val="-5"/>
                <w:sz w:val="22"/>
              </w:rPr>
              <w:t>27</w:t>
            </w:r>
          </w:p>
        </w:tc>
        <w:tc>
          <w:tcPr>
            <w:tcW w:w="2098" w:type="dxa"/>
          </w:tcPr>
          <w:p>
            <w:pPr>
              <w:pStyle w:val="TableParagraph"/>
              <w:spacing w:before="49"/>
              <w:ind w:left="571"/>
              <w:jc w:val="left"/>
              <w:rPr>
                <w:sz w:val="22"/>
              </w:rPr>
            </w:pPr>
            <w:r>
              <w:rPr>
                <w:sz w:val="22"/>
              </w:rPr>
              <w:t>43.4 </w:t>
            </w:r>
            <w:r>
              <w:rPr>
                <w:spacing w:val="-2"/>
                <w:sz w:val="22"/>
              </w:rPr>
              <w:t>(39.9)</w:t>
            </w:r>
          </w:p>
        </w:tc>
        <w:tc>
          <w:tcPr>
            <w:tcW w:w="1328" w:type="dxa"/>
          </w:tcPr>
          <w:p>
            <w:pPr>
              <w:pStyle w:val="TableParagraph"/>
              <w:spacing w:before="49"/>
              <w:ind w:left="55" w:right="3"/>
              <w:rPr>
                <w:sz w:val="22"/>
              </w:rPr>
            </w:pPr>
            <w:r>
              <w:rPr>
                <w:spacing w:val="-10"/>
                <w:sz w:val="22"/>
              </w:rPr>
              <w:t>S</w:t>
            </w:r>
          </w:p>
        </w:tc>
      </w:tr>
      <w:tr>
        <w:trPr>
          <w:trHeight w:val="361" w:hRule="atLeast"/>
        </w:trPr>
        <w:tc>
          <w:tcPr>
            <w:tcW w:w="772" w:type="dxa"/>
          </w:tcPr>
          <w:p>
            <w:pPr>
              <w:pStyle w:val="TableParagraph"/>
              <w:spacing w:before="50"/>
              <w:ind w:left="96"/>
              <w:rPr>
                <w:sz w:val="22"/>
              </w:rPr>
            </w:pPr>
            <w:r>
              <w:rPr>
                <w:spacing w:val="-5"/>
                <w:sz w:val="22"/>
              </w:rPr>
              <w:t>19.</w:t>
            </w:r>
          </w:p>
        </w:tc>
        <w:tc>
          <w:tcPr>
            <w:tcW w:w="2139" w:type="dxa"/>
          </w:tcPr>
          <w:p>
            <w:pPr>
              <w:pStyle w:val="TableParagraph"/>
              <w:spacing w:before="50"/>
              <w:ind w:left="199"/>
              <w:jc w:val="left"/>
              <w:rPr>
                <w:sz w:val="22"/>
              </w:rPr>
            </w:pPr>
            <w:r>
              <w:rPr>
                <w:spacing w:val="-2"/>
                <w:sz w:val="22"/>
              </w:rPr>
              <w:t>Nirmala</w:t>
            </w:r>
          </w:p>
        </w:tc>
        <w:tc>
          <w:tcPr>
            <w:tcW w:w="2131" w:type="dxa"/>
          </w:tcPr>
          <w:p>
            <w:pPr>
              <w:pStyle w:val="TableParagraph"/>
              <w:spacing w:before="50"/>
              <w:ind w:left="416" w:right="2"/>
              <w:rPr>
                <w:sz w:val="22"/>
              </w:rPr>
            </w:pPr>
            <w:r>
              <w:rPr>
                <w:spacing w:val="-5"/>
                <w:sz w:val="22"/>
              </w:rPr>
              <w:t>32</w:t>
            </w:r>
          </w:p>
        </w:tc>
        <w:tc>
          <w:tcPr>
            <w:tcW w:w="1655" w:type="dxa"/>
          </w:tcPr>
          <w:p>
            <w:pPr>
              <w:pStyle w:val="TableParagraph"/>
              <w:spacing w:before="50"/>
              <w:ind w:right="25"/>
              <w:rPr>
                <w:sz w:val="22"/>
              </w:rPr>
            </w:pPr>
            <w:r>
              <w:rPr>
                <w:spacing w:val="-5"/>
                <w:sz w:val="22"/>
              </w:rPr>
              <w:t>31</w:t>
            </w:r>
          </w:p>
        </w:tc>
        <w:tc>
          <w:tcPr>
            <w:tcW w:w="2098" w:type="dxa"/>
          </w:tcPr>
          <w:p>
            <w:pPr>
              <w:pStyle w:val="TableParagraph"/>
              <w:spacing w:before="50"/>
              <w:ind w:left="626"/>
              <w:jc w:val="left"/>
              <w:rPr>
                <w:sz w:val="22"/>
              </w:rPr>
            </w:pPr>
            <w:r>
              <w:rPr>
                <w:sz w:val="22"/>
              </w:rPr>
              <w:t>8.9 </w:t>
            </w:r>
            <w:r>
              <w:rPr>
                <w:spacing w:val="-2"/>
                <w:sz w:val="22"/>
              </w:rPr>
              <w:t>(24.6)</w:t>
            </w:r>
          </w:p>
        </w:tc>
        <w:tc>
          <w:tcPr>
            <w:tcW w:w="1328" w:type="dxa"/>
          </w:tcPr>
          <w:p>
            <w:pPr>
              <w:pStyle w:val="TableParagraph"/>
              <w:spacing w:before="50"/>
              <w:ind w:left="55" w:right="2"/>
              <w:rPr>
                <w:sz w:val="22"/>
              </w:rPr>
            </w:pPr>
            <w:r>
              <w:rPr>
                <w:spacing w:val="-10"/>
                <w:sz w:val="22"/>
              </w:rPr>
              <w:t>R</w:t>
            </w:r>
          </w:p>
        </w:tc>
      </w:tr>
      <w:tr>
        <w:trPr>
          <w:trHeight w:val="361" w:hRule="atLeast"/>
        </w:trPr>
        <w:tc>
          <w:tcPr>
            <w:tcW w:w="772" w:type="dxa"/>
          </w:tcPr>
          <w:p>
            <w:pPr>
              <w:pStyle w:val="TableParagraph"/>
              <w:spacing w:before="49"/>
              <w:ind w:left="96"/>
              <w:rPr>
                <w:sz w:val="22"/>
              </w:rPr>
            </w:pPr>
            <w:r>
              <w:rPr>
                <w:spacing w:val="-5"/>
                <w:sz w:val="22"/>
              </w:rPr>
              <w:t>20.</w:t>
            </w:r>
          </w:p>
        </w:tc>
        <w:tc>
          <w:tcPr>
            <w:tcW w:w="2139" w:type="dxa"/>
          </w:tcPr>
          <w:p>
            <w:pPr>
              <w:pStyle w:val="TableParagraph"/>
              <w:spacing w:before="49"/>
              <w:ind w:left="199"/>
              <w:jc w:val="left"/>
              <w:rPr>
                <w:sz w:val="22"/>
              </w:rPr>
            </w:pPr>
            <w:r>
              <w:rPr>
                <w:spacing w:val="-4"/>
                <w:sz w:val="22"/>
              </w:rPr>
              <w:t>Hima</w:t>
            </w:r>
          </w:p>
        </w:tc>
        <w:tc>
          <w:tcPr>
            <w:tcW w:w="2131" w:type="dxa"/>
          </w:tcPr>
          <w:p>
            <w:pPr>
              <w:pStyle w:val="TableParagraph"/>
              <w:spacing w:before="49"/>
              <w:ind w:left="416" w:right="2"/>
              <w:rPr>
                <w:sz w:val="22"/>
              </w:rPr>
            </w:pPr>
            <w:r>
              <w:rPr>
                <w:spacing w:val="-5"/>
                <w:sz w:val="22"/>
              </w:rPr>
              <w:t>27</w:t>
            </w:r>
          </w:p>
        </w:tc>
        <w:tc>
          <w:tcPr>
            <w:tcW w:w="1655" w:type="dxa"/>
          </w:tcPr>
          <w:p>
            <w:pPr>
              <w:pStyle w:val="TableParagraph"/>
              <w:spacing w:before="49"/>
              <w:ind w:right="25"/>
              <w:rPr>
                <w:sz w:val="22"/>
              </w:rPr>
            </w:pPr>
            <w:r>
              <w:rPr>
                <w:spacing w:val="-5"/>
                <w:sz w:val="22"/>
              </w:rPr>
              <w:t>17</w:t>
            </w:r>
          </w:p>
        </w:tc>
        <w:tc>
          <w:tcPr>
            <w:tcW w:w="2098" w:type="dxa"/>
          </w:tcPr>
          <w:p>
            <w:pPr>
              <w:pStyle w:val="TableParagraph"/>
              <w:spacing w:before="49"/>
              <w:ind w:left="571"/>
              <w:jc w:val="left"/>
              <w:rPr>
                <w:sz w:val="22"/>
              </w:rPr>
            </w:pPr>
            <w:r>
              <w:rPr>
                <w:sz w:val="22"/>
              </w:rPr>
              <w:t>19.1 </w:t>
            </w:r>
            <w:r>
              <w:rPr>
                <w:spacing w:val="-2"/>
                <w:sz w:val="22"/>
              </w:rPr>
              <w:t>(30.5)</w:t>
            </w:r>
          </w:p>
        </w:tc>
        <w:tc>
          <w:tcPr>
            <w:tcW w:w="1328" w:type="dxa"/>
          </w:tcPr>
          <w:p>
            <w:pPr>
              <w:pStyle w:val="TableParagraph"/>
              <w:spacing w:before="49"/>
              <w:ind w:left="55" w:right="2"/>
              <w:rPr>
                <w:sz w:val="22"/>
              </w:rPr>
            </w:pPr>
            <w:r>
              <w:rPr>
                <w:spacing w:val="-5"/>
                <w:sz w:val="22"/>
              </w:rPr>
              <w:t>MR</w:t>
            </w:r>
          </w:p>
        </w:tc>
      </w:tr>
      <w:tr>
        <w:trPr>
          <w:trHeight w:val="361" w:hRule="atLeast"/>
        </w:trPr>
        <w:tc>
          <w:tcPr>
            <w:tcW w:w="772" w:type="dxa"/>
          </w:tcPr>
          <w:p>
            <w:pPr>
              <w:pStyle w:val="TableParagraph"/>
              <w:spacing w:before="50"/>
              <w:ind w:left="96"/>
              <w:rPr>
                <w:sz w:val="22"/>
              </w:rPr>
            </w:pPr>
            <w:r>
              <w:rPr>
                <w:spacing w:val="-5"/>
                <w:sz w:val="22"/>
              </w:rPr>
              <w:t>21.</w:t>
            </w:r>
          </w:p>
        </w:tc>
        <w:tc>
          <w:tcPr>
            <w:tcW w:w="2139" w:type="dxa"/>
          </w:tcPr>
          <w:p>
            <w:pPr>
              <w:pStyle w:val="TableParagraph"/>
              <w:spacing w:before="50"/>
              <w:ind w:left="199"/>
              <w:jc w:val="left"/>
              <w:rPr>
                <w:sz w:val="22"/>
              </w:rPr>
            </w:pPr>
            <w:r>
              <w:rPr>
                <w:spacing w:val="-2"/>
                <w:sz w:val="22"/>
              </w:rPr>
              <w:t>VS-16-</w:t>
            </w:r>
            <w:r>
              <w:rPr>
                <w:spacing w:val="-5"/>
                <w:sz w:val="22"/>
              </w:rPr>
              <w:t>009</w:t>
            </w:r>
          </w:p>
        </w:tc>
        <w:tc>
          <w:tcPr>
            <w:tcW w:w="2131" w:type="dxa"/>
          </w:tcPr>
          <w:p>
            <w:pPr>
              <w:pStyle w:val="TableParagraph"/>
              <w:spacing w:before="50"/>
              <w:ind w:left="416" w:right="2"/>
              <w:rPr>
                <w:sz w:val="22"/>
              </w:rPr>
            </w:pPr>
            <w:r>
              <w:rPr>
                <w:spacing w:val="-5"/>
                <w:sz w:val="22"/>
              </w:rPr>
              <w:t>24</w:t>
            </w:r>
          </w:p>
        </w:tc>
        <w:tc>
          <w:tcPr>
            <w:tcW w:w="1655" w:type="dxa"/>
          </w:tcPr>
          <w:p>
            <w:pPr>
              <w:pStyle w:val="TableParagraph"/>
              <w:spacing w:before="50"/>
              <w:ind w:right="25"/>
              <w:rPr>
                <w:sz w:val="22"/>
              </w:rPr>
            </w:pPr>
            <w:r>
              <w:rPr>
                <w:spacing w:val="-5"/>
                <w:sz w:val="22"/>
              </w:rPr>
              <w:t>21</w:t>
            </w:r>
          </w:p>
        </w:tc>
        <w:tc>
          <w:tcPr>
            <w:tcW w:w="2098" w:type="dxa"/>
          </w:tcPr>
          <w:p>
            <w:pPr>
              <w:pStyle w:val="TableParagraph"/>
              <w:spacing w:before="50"/>
              <w:ind w:left="626"/>
              <w:jc w:val="left"/>
              <w:rPr>
                <w:sz w:val="22"/>
              </w:rPr>
            </w:pPr>
            <w:r>
              <w:rPr>
                <w:sz w:val="22"/>
              </w:rPr>
              <w:t>9.5 </w:t>
            </w:r>
            <w:r>
              <w:rPr>
                <w:spacing w:val="-2"/>
                <w:sz w:val="22"/>
              </w:rPr>
              <w:t>(25.1)</w:t>
            </w:r>
          </w:p>
        </w:tc>
        <w:tc>
          <w:tcPr>
            <w:tcW w:w="1328" w:type="dxa"/>
          </w:tcPr>
          <w:p>
            <w:pPr>
              <w:pStyle w:val="TableParagraph"/>
              <w:spacing w:before="50"/>
              <w:ind w:left="55" w:right="2"/>
              <w:rPr>
                <w:sz w:val="22"/>
              </w:rPr>
            </w:pPr>
            <w:r>
              <w:rPr>
                <w:spacing w:val="-10"/>
                <w:sz w:val="22"/>
              </w:rPr>
              <w:t>R</w:t>
            </w:r>
          </w:p>
        </w:tc>
      </w:tr>
      <w:tr>
        <w:trPr>
          <w:trHeight w:val="360" w:hRule="atLeast"/>
        </w:trPr>
        <w:tc>
          <w:tcPr>
            <w:tcW w:w="772" w:type="dxa"/>
          </w:tcPr>
          <w:p>
            <w:pPr>
              <w:pStyle w:val="TableParagraph"/>
              <w:spacing w:before="49"/>
              <w:ind w:left="96"/>
              <w:rPr>
                <w:sz w:val="22"/>
              </w:rPr>
            </w:pPr>
            <w:r>
              <w:rPr>
                <w:spacing w:val="-5"/>
                <w:sz w:val="22"/>
              </w:rPr>
              <w:t>22.</w:t>
            </w:r>
          </w:p>
        </w:tc>
        <w:tc>
          <w:tcPr>
            <w:tcW w:w="2139" w:type="dxa"/>
          </w:tcPr>
          <w:p>
            <w:pPr>
              <w:pStyle w:val="TableParagraph"/>
              <w:spacing w:before="49"/>
              <w:ind w:left="199"/>
              <w:jc w:val="left"/>
              <w:rPr>
                <w:sz w:val="22"/>
              </w:rPr>
            </w:pPr>
            <w:r>
              <w:rPr>
                <w:spacing w:val="-2"/>
                <w:sz w:val="22"/>
              </w:rPr>
              <w:t>VS-18-</w:t>
            </w:r>
            <w:r>
              <w:rPr>
                <w:spacing w:val="-5"/>
                <w:sz w:val="22"/>
              </w:rPr>
              <w:t>005</w:t>
            </w:r>
          </w:p>
        </w:tc>
        <w:tc>
          <w:tcPr>
            <w:tcW w:w="2131" w:type="dxa"/>
          </w:tcPr>
          <w:p>
            <w:pPr>
              <w:pStyle w:val="TableParagraph"/>
              <w:spacing w:before="49"/>
              <w:ind w:left="416" w:right="2"/>
              <w:rPr>
                <w:sz w:val="22"/>
              </w:rPr>
            </w:pPr>
            <w:r>
              <w:rPr>
                <w:spacing w:val="-5"/>
                <w:sz w:val="22"/>
              </w:rPr>
              <w:t>33</w:t>
            </w:r>
          </w:p>
        </w:tc>
        <w:tc>
          <w:tcPr>
            <w:tcW w:w="1655" w:type="dxa"/>
          </w:tcPr>
          <w:p>
            <w:pPr>
              <w:pStyle w:val="TableParagraph"/>
              <w:spacing w:before="49"/>
              <w:ind w:right="25"/>
              <w:rPr>
                <w:sz w:val="22"/>
              </w:rPr>
            </w:pPr>
            <w:r>
              <w:rPr>
                <w:spacing w:val="-5"/>
                <w:sz w:val="22"/>
              </w:rPr>
              <w:t>30</w:t>
            </w:r>
          </w:p>
        </w:tc>
        <w:tc>
          <w:tcPr>
            <w:tcW w:w="2098" w:type="dxa"/>
          </w:tcPr>
          <w:p>
            <w:pPr>
              <w:pStyle w:val="TableParagraph"/>
              <w:spacing w:before="49"/>
              <w:ind w:left="571"/>
              <w:jc w:val="left"/>
              <w:rPr>
                <w:sz w:val="22"/>
              </w:rPr>
            </w:pPr>
            <w:r>
              <w:rPr>
                <w:sz w:val="22"/>
              </w:rPr>
              <w:t>22.5 </w:t>
            </w:r>
            <w:r>
              <w:rPr>
                <w:spacing w:val="-2"/>
                <w:sz w:val="22"/>
              </w:rPr>
              <w:t>(32.1)</w:t>
            </w:r>
          </w:p>
        </w:tc>
        <w:tc>
          <w:tcPr>
            <w:tcW w:w="1328" w:type="dxa"/>
          </w:tcPr>
          <w:p>
            <w:pPr>
              <w:pStyle w:val="TableParagraph"/>
              <w:spacing w:before="49"/>
              <w:ind w:left="55" w:right="2"/>
              <w:rPr>
                <w:sz w:val="22"/>
              </w:rPr>
            </w:pPr>
            <w:r>
              <w:rPr>
                <w:spacing w:val="-5"/>
                <w:sz w:val="22"/>
              </w:rPr>
              <w:t>MS</w:t>
            </w:r>
          </w:p>
        </w:tc>
      </w:tr>
      <w:tr>
        <w:trPr>
          <w:trHeight w:val="361" w:hRule="atLeast"/>
        </w:trPr>
        <w:tc>
          <w:tcPr>
            <w:tcW w:w="772" w:type="dxa"/>
          </w:tcPr>
          <w:p>
            <w:pPr>
              <w:pStyle w:val="TableParagraph"/>
              <w:spacing w:before="49"/>
              <w:ind w:left="96"/>
              <w:rPr>
                <w:sz w:val="22"/>
              </w:rPr>
            </w:pPr>
            <w:r>
              <w:rPr>
                <w:spacing w:val="-5"/>
                <w:sz w:val="22"/>
              </w:rPr>
              <w:t>23.</w:t>
            </w:r>
          </w:p>
        </w:tc>
        <w:tc>
          <w:tcPr>
            <w:tcW w:w="2139" w:type="dxa"/>
          </w:tcPr>
          <w:p>
            <w:pPr>
              <w:pStyle w:val="TableParagraph"/>
              <w:spacing w:before="49"/>
              <w:ind w:left="199"/>
              <w:jc w:val="left"/>
              <w:rPr>
                <w:sz w:val="22"/>
              </w:rPr>
            </w:pPr>
            <w:r>
              <w:rPr>
                <w:spacing w:val="-2"/>
                <w:sz w:val="22"/>
              </w:rPr>
              <w:t>VS-19-</w:t>
            </w:r>
            <w:r>
              <w:rPr>
                <w:spacing w:val="-5"/>
                <w:sz w:val="22"/>
              </w:rPr>
              <w:t>045</w:t>
            </w:r>
          </w:p>
        </w:tc>
        <w:tc>
          <w:tcPr>
            <w:tcW w:w="2131" w:type="dxa"/>
          </w:tcPr>
          <w:p>
            <w:pPr>
              <w:pStyle w:val="TableParagraph"/>
              <w:spacing w:before="49"/>
              <w:ind w:left="416" w:right="2"/>
              <w:rPr>
                <w:sz w:val="22"/>
              </w:rPr>
            </w:pPr>
            <w:r>
              <w:rPr>
                <w:spacing w:val="-5"/>
                <w:sz w:val="22"/>
              </w:rPr>
              <w:t>17</w:t>
            </w:r>
          </w:p>
        </w:tc>
        <w:tc>
          <w:tcPr>
            <w:tcW w:w="1655" w:type="dxa"/>
          </w:tcPr>
          <w:p>
            <w:pPr>
              <w:pStyle w:val="TableParagraph"/>
              <w:spacing w:before="49"/>
              <w:ind w:right="25"/>
              <w:rPr>
                <w:sz w:val="22"/>
              </w:rPr>
            </w:pPr>
            <w:r>
              <w:rPr>
                <w:spacing w:val="-5"/>
                <w:sz w:val="22"/>
              </w:rPr>
              <w:t>10</w:t>
            </w:r>
          </w:p>
        </w:tc>
        <w:tc>
          <w:tcPr>
            <w:tcW w:w="2098" w:type="dxa"/>
          </w:tcPr>
          <w:p>
            <w:pPr>
              <w:pStyle w:val="TableParagraph"/>
              <w:spacing w:before="49"/>
              <w:ind w:left="571"/>
              <w:jc w:val="left"/>
              <w:rPr>
                <w:sz w:val="22"/>
              </w:rPr>
            </w:pPr>
            <w:r>
              <w:rPr>
                <w:sz w:val="22"/>
              </w:rPr>
              <w:t>20.0 </w:t>
            </w:r>
            <w:r>
              <w:rPr>
                <w:spacing w:val="-2"/>
                <w:sz w:val="22"/>
              </w:rPr>
              <w:t>(31.0)</w:t>
            </w:r>
          </w:p>
        </w:tc>
        <w:tc>
          <w:tcPr>
            <w:tcW w:w="1328" w:type="dxa"/>
          </w:tcPr>
          <w:p>
            <w:pPr>
              <w:pStyle w:val="TableParagraph"/>
              <w:spacing w:before="49"/>
              <w:ind w:left="55" w:right="2"/>
              <w:rPr>
                <w:sz w:val="22"/>
              </w:rPr>
            </w:pPr>
            <w:r>
              <w:rPr>
                <w:spacing w:val="-5"/>
                <w:sz w:val="22"/>
              </w:rPr>
              <w:t>MR</w:t>
            </w:r>
          </w:p>
        </w:tc>
      </w:tr>
      <w:tr>
        <w:trPr>
          <w:trHeight w:val="361" w:hRule="atLeast"/>
        </w:trPr>
        <w:tc>
          <w:tcPr>
            <w:tcW w:w="772" w:type="dxa"/>
          </w:tcPr>
          <w:p>
            <w:pPr>
              <w:pStyle w:val="TableParagraph"/>
              <w:spacing w:before="50"/>
              <w:ind w:left="96"/>
              <w:rPr>
                <w:sz w:val="22"/>
              </w:rPr>
            </w:pPr>
            <w:r>
              <w:rPr>
                <w:spacing w:val="-5"/>
                <w:sz w:val="22"/>
              </w:rPr>
              <w:t>24.</w:t>
            </w:r>
          </w:p>
        </w:tc>
        <w:tc>
          <w:tcPr>
            <w:tcW w:w="2139" w:type="dxa"/>
          </w:tcPr>
          <w:p>
            <w:pPr>
              <w:pStyle w:val="TableParagraph"/>
              <w:spacing w:before="50"/>
              <w:ind w:left="199"/>
              <w:jc w:val="left"/>
              <w:rPr>
                <w:sz w:val="22"/>
              </w:rPr>
            </w:pPr>
            <w:r>
              <w:rPr>
                <w:spacing w:val="-2"/>
                <w:sz w:val="22"/>
              </w:rPr>
              <w:t>VS-20-</w:t>
            </w:r>
            <w:r>
              <w:rPr>
                <w:spacing w:val="-5"/>
                <w:sz w:val="22"/>
              </w:rPr>
              <w:t>001</w:t>
            </w:r>
          </w:p>
        </w:tc>
        <w:tc>
          <w:tcPr>
            <w:tcW w:w="2131" w:type="dxa"/>
          </w:tcPr>
          <w:p>
            <w:pPr>
              <w:pStyle w:val="TableParagraph"/>
              <w:spacing w:before="50"/>
              <w:ind w:left="416" w:right="2"/>
              <w:rPr>
                <w:sz w:val="22"/>
              </w:rPr>
            </w:pPr>
            <w:r>
              <w:rPr>
                <w:spacing w:val="-5"/>
                <w:sz w:val="22"/>
              </w:rPr>
              <w:t>34</w:t>
            </w:r>
          </w:p>
        </w:tc>
        <w:tc>
          <w:tcPr>
            <w:tcW w:w="1655" w:type="dxa"/>
          </w:tcPr>
          <w:p>
            <w:pPr>
              <w:pStyle w:val="TableParagraph"/>
              <w:spacing w:before="50"/>
              <w:ind w:right="25"/>
              <w:rPr>
                <w:sz w:val="22"/>
              </w:rPr>
            </w:pPr>
            <w:r>
              <w:rPr>
                <w:spacing w:val="-5"/>
                <w:sz w:val="22"/>
              </w:rPr>
              <w:t>29</w:t>
            </w:r>
          </w:p>
        </w:tc>
        <w:tc>
          <w:tcPr>
            <w:tcW w:w="2098" w:type="dxa"/>
          </w:tcPr>
          <w:p>
            <w:pPr>
              <w:pStyle w:val="TableParagraph"/>
              <w:spacing w:before="50"/>
              <w:ind w:left="571"/>
              <w:jc w:val="left"/>
              <w:rPr>
                <w:sz w:val="22"/>
              </w:rPr>
            </w:pPr>
            <w:r>
              <w:rPr>
                <w:sz w:val="22"/>
              </w:rPr>
              <w:t>20.6 </w:t>
            </w:r>
            <w:r>
              <w:rPr>
                <w:spacing w:val="-2"/>
                <w:sz w:val="22"/>
              </w:rPr>
              <w:t>(31.3)</w:t>
            </w:r>
          </w:p>
        </w:tc>
        <w:tc>
          <w:tcPr>
            <w:tcW w:w="1328" w:type="dxa"/>
          </w:tcPr>
          <w:p>
            <w:pPr>
              <w:pStyle w:val="TableParagraph"/>
              <w:spacing w:before="50"/>
              <w:ind w:left="55" w:right="2"/>
              <w:rPr>
                <w:sz w:val="22"/>
              </w:rPr>
            </w:pPr>
            <w:r>
              <w:rPr>
                <w:spacing w:val="-5"/>
                <w:sz w:val="22"/>
              </w:rPr>
              <w:t>MS</w:t>
            </w:r>
          </w:p>
        </w:tc>
      </w:tr>
      <w:tr>
        <w:trPr>
          <w:trHeight w:val="361" w:hRule="atLeast"/>
        </w:trPr>
        <w:tc>
          <w:tcPr>
            <w:tcW w:w="772" w:type="dxa"/>
          </w:tcPr>
          <w:p>
            <w:pPr>
              <w:pStyle w:val="TableParagraph"/>
              <w:spacing w:before="49"/>
              <w:ind w:left="96"/>
              <w:rPr>
                <w:sz w:val="22"/>
              </w:rPr>
            </w:pPr>
            <w:r>
              <w:rPr>
                <w:spacing w:val="-5"/>
                <w:sz w:val="22"/>
              </w:rPr>
              <w:t>25.</w:t>
            </w:r>
          </w:p>
        </w:tc>
        <w:tc>
          <w:tcPr>
            <w:tcW w:w="2139" w:type="dxa"/>
          </w:tcPr>
          <w:p>
            <w:pPr>
              <w:pStyle w:val="TableParagraph"/>
              <w:spacing w:before="49"/>
              <w:ind w:left="199"/>
              <w:jc w:val="left"/>
              <w:rPr>
                <w:sz w:val="22"/>
              </w:rPr>
            </w:pPr>
            <w:r>
              <w:rPr>
                <w:spacing w:val="-2"/>
                <w:sz w:val="22"/>
              </w:rPr>
              <w:t>VS-20-</w:t>
            </w:r>
            <w:r>
              <w:rPr>
                <w:spacing w:val="-5"/>
                <w:sz w:val="22"/>
              </w:rPr>
              <w:t>008</w:t>
            </w:r>
          </w:p>
        </w:tc>
        <w:tc>
          <w:tcPr>
            <w:tcW w:w="2131" w:type="dxa"/>
          </w:tcPr>
          <w:p>
            <w:pPr>
              <w:pStyle w:val="TableParagraph"/>
              <w:spacing w:before="49"/>
              <w:ind w:left="416" w:right="2"/>
              <w:rPr>
                <w:sz w:val="22"/>
              </w:rPr>
            </w:pPr>
            <w:r>
              <w:rPr>
                <w:spacing w:val="-5"/>
                <w:sz w:val="22"/>
              </w:rPr>
              <w:t>45</w:t>
            </w:r>
          </w:p>
        </w:tc>
        <w:tc>
          <w:tcPr>
            <w:tcW w:w="1655" w:type="dxa"/>
          </w:tcPr>
          <w:p>
            <w:pPr>
              <w:pStyle w:val="TableParagraph"/>
              <w:spacing w:before="49"/>
              <w:ind w:right="25"/>
              <w:rPr>
                <w:sz w:val="22"/>
              </w:rPr>
            </w:pPr>
            <w:r>
              <w:rPr>
                <w:spacing w:val="-5"/>
                <w:sz w:val="22"/>
              </w:rPr>
              <w:t>45</w:t>
            </w:r>
          </w:p>
        </w:tc>
        <w:tc>
          <w:tcPr>
            <w:tcW w:w="2098" w:type="dxa"/>
          </w:tcPr>
          <w:p>
            <w:pPr>
              <w:pStyle w:val="TableParagraph"/>
              <w:spacing w:before="49"/>
              <w:ind w:left="571"/>
              <w:jc w:val="left"/>
              <w:rPr>
                <w:sz w:val="22"/>
              </w:rPr>
            </w:pPr>
            <w:r>
              <w:rPr>
                <w:sz w:val="22"/>
              </w:rPr>
              <w:t>10.0 </w:t>
            </w:r>
            <w:r>
              <w:rPr>
                <w:spacing w:val="-2"/>
                <w:sz w:val="22"/>
              </w:rPr>
              <w:t>(25.5)</w:t>
            </w:r>
          </w:p>
        </w:tc>
        <w:tc>
          <w:tcPr>
            <w:tcW w:w="1328" w:type="dxa"/>
          </w:tcPr>
          <w:p>
            <w:pPr>
              <w:pStyle w:val="TableParagraph"/>
              <w:spacing w:before="49"/>
              <w:ind w:left="55" w:right="2"/>
              <w:rPr>
                <w:sz w:val="22"/>
              </w:rPr>
            </w:pPr>
            <w:r>
              <w:rPr>
                <w:spacing w:val="-10"/>
                <w:sz w:val="22"/>
              </w:rPr>
              <w:t>R</w:t>
            </w:r>
          </w:p>
        </w:tc>
      </w:tr>
      <w:tr>
        <w:trPr>
          <w:trHeight w:val="361" w:hRule="atLeast"/>
        </w:trPr>
        <w:tc>
          <w:tcPr>
            <w:tcW w:w="772" w:type="dxa"/>
          </w:tcPr>
          <w:p>
            <w:pPr>
              <w:pStyle w:val="TableParagraph"/>
              <w:spacing w:before="50"/>
              <w:ind w:left="96"/>
              <w:rPr>
                <w:sz w:val="22"/>
              </w:rPr>
            </w:pPr>
            <w:r>
              <w:rPr>
                <w:spacing w:val="-5"/>
                <w:sz w:val="22"/>
              </w:rPr>
              <w:t>26.</w:t>
            </w:r>
          </w:p>
        </w:tc>
        <w:tc>
          <w:tcPr>
            <w:tcW w:w="2139" w:type="dxa"/>
          </w:tcPr>
          <w:p>
            <w:pPr>
              <w:pStyle w:val="TableParagraph"/>
              <w:spacing w:before="50"/>
              <w:ind w:left="199"/>
              <w:jc w:val="left"/>
              <w:rPr>
                <w:sz w:val="22"/>
              </w:rPr>
            </w:pPr>
            <w:r>
              <w:rPr>
                <w:spacing w:val="-2"/>
                <w:sz w:val="22"/>
              </w:rPr>
              <w:t>RMT-</w:t>
            </w:r>
            <w:r>
              <w:rPr>
                <w:spacing w:val="-5"/>
                <w:sz w:val="22"/>
              </w:rPr>
              <w:t>130</w:t>
            </w:r>
          </w:p>
        </w:tc>
        <w:tc>
          <w:tcPr>
            <w:tcW w:w="2131" w:type="dxa"/>
          </w:tcPr>
          <w:p>
            <w:pPr>
              <w:pStyle w:val="TableParagraph"/>
              <w:spacing w:before="50"/>
              <w:ind w:left="416" w:right="2"/>
              <w:rPr>
                <w:sz w:val="22"/>
              </w:rPr>
            </w:pPr>
            <w:r>
              <w:rPr>
                <w:spacing w:val="-5"/>
                <w:sz w:val="22"/>
              </w:rPr>
              <w:t>32</w:t>
            </w:r>
          </w:p>
        </w:tc>
        <w:tc>
          <w:tcPr>
            <w:tcW w:w="1655" w:type="dxa"/>
          </w:tcPr>
          <w:p>
            <w:pPr>
              <w:pStyle w:val="TableParagraph"/>
              <w:spacing w:before="50"/>
              <w:ind w:right="25"/>
              <w:rPr>
                <w:sz w:val="22"/>
              </w:rPr>
            </w:pPr>
            <w:r>
              <w:rPr>
                <w:spacing w:val="-5"/>
                <w:sz w:val="22"/>
              </w:rPr>
              <w:t>27</w:t>
            </w:r>
          </w:p>
        </w:tc>
        <w:tc>
          <w:tcPr>
            <w:tcW w:w="2098" w:type="dxa"/>
          </w:tcPr>
          <w:p>
            <w:pPr>
              <w:pStyle w:val="TableParagraph"/>
              <w:spacing w:before="50"/>
              <w:ind w:left="571"/>
              <w:jc w:val="left"/>
              <w:rPr>
                <w:sz w:val="22"/>
              </w:rPr>
            </w:pPr>
            <w:r>
              <w:rPr>
                <w:sz w:val="22"/>
              </w:rPr>
              <w:t>59.8 </w:t>
            </w:r>
            <w:r>
              <w:rPr>
                <w:spacing w:val="-2"/>
                <w:sz w:val="22"/>
              </w:rPr>
              <w:t>(45.4)</w:t>
            </w:r>
          </w:p>
        </w:tc>
        <w:tc>
          <w:tcPr>
            <w:tcW w:w="1328" w:type="dxa"/>
          </w:tcPr>
          <w:p>
            <w:pPr>
              <w:pStyle w:val="TableParagraph"/>
              <w:spacing w:before="50"/>
              <w:ind w:left="55" w:right="4"/>
              <w:rPr>
                <w:sz w:val="22"/>
              </w:rPr>
            </w:pPr>
            <w:r>
              <w:rPr>
                <w:spacing w:val="-5"/>
                <w:sz w:val="22"/>
              </w:rPr>
              <w:t>HS</w:t>
            </w:r>
          </w:p>
        </w:tc>
      </w:tr>
      <w:tr>
        <w:trPr>
          <w:trHeight w:val="360" w:hRule="atLeast"/>
        </w:trPr>
        <w:tc>
          <w:tcPr>
            <w:tcW w:w="772" w:type="dxa"/>
          </w:tcPr>
          <w:p>
            <w:pPr>
              <w:pStyle w:val="TableParagraph"/>
              <w:spacing w:before="49"/>
              <w:ind w:left="96"/>
              <w:rPr>
                <w:sz w:val="22"/>
              </w:rPr>
            </w:pPr>
            <w:r>
              <w:rPr>
                <w:spacing w:val="-5"/>
                <w:sz w:val="22"/>
              </w:rPr>
              <w:t>27.</w:t>
            </w:r>
          </w:p>
        </w:tc>
        <w:tc>
          <w:tcPr>
            <w:tcW w:w="2139" w:type="dxa"/>
          </w:tcPr>
          <w:p>
            <w:pPr>
              <w:pStyle w:val="TableParagraph"/>
              <w:spacing w:before="49"/>
              <w:ind w:left="199"/>
              <w:jc w:val="left"/>
              <w:rPr>
                <w:sz w:val="22"/>
              </w:rPr>
            </w:pPr>
            <w:r>
              <w:rPr>
                <w:spacing w:val="-2"/>
                <w:sz w:val="22"/>
              </w:rPr>
              <w:t>RMT-</w:t>
            </w:r>
            <w:r>
              <w:rPr>
                <w:spacing w:val="-5"/>
                <w:sz w:val="22"/>
              </w:rPr>
              <w:t>175</w:t>
            </w:r>
          </w:p>
        </w:tc>
        <w:tc>
          <w:tcPr>
            <w:tcW w:w="2131" w:type="dxa"/>
          </w:tcPr>
          <w:p>
            <w:pPr>
              <w:pStyle w:val="TableParagraph"/>
              <w:spacing w:before="49"/>
              <w:ind w:left="416" w:right="2"/>
              <w:rPr>
                <w:sz w:val="22"/>
              </w:rPr>
            </w:pPr>
            <w:r>
              <w:rPr>
                <w:spacing w:val="-5"/>
                <w:sz w:val="22"/>
              </w:rPr>
              <w:t>26</w:t>
            </w:r>
          </w:p>
        </w:tc>
        <w:tc>
          <w:tcPr>
            <w:tcW w:w="1655" w:type="dxa"/>
          </w:tcPr>
          <w:p>
            <w:pPr>
              <w:pStyle w:val="TableParagraph"/>
              <w:spacing w:before="49"/>
              <w:ind w:right="25"/>
              <w:rPr>
                <w:sz w:val="22"/>
              </w:rPr>
            </w:pPr>
            <w:r>
              <w:rPr>
                <w:spacing w:val="-5"/>
                <w:sz w:val="22"/>
              </w:rPr>
              <w:t>23</w:t>
            </w:r>
          </w:p>
        </w:tc>
        <w:tc>
          <w:tcPr>
            <w:tcW w:w="2098" w:type="dxa"/>
          </w:tcPr>
          <w:p>
            <w:pPr>
              <w:pStyle w:val="TableParagraph"/>
              <w:spacing w:before="49"/>
              <w:ind w:left="571"/>
              <w:jc w:val="left"/>
              <w:rPr>
                <w:sz w:val="22"/>
              </w:rPr>
            </w:pPr>
            <w:r>
              <w:rPr>
                <w:sz w:val="22"/>
              </w:rPr>
              <w:t>58.5 </w:t>
            </w:r>
            <w:r>
              <w:rPr>
                <w:spacing w:val="-2"/>
                <w:sz w:val="22"/>
              </w:rPr>
              <w:t>(44.9)</w:t>
            </w:r>
          </w:p>
        </w:tc>
        <w:tc>
          <w:tcPr>
            <w:tcW w:w="1328" w:type="dxa"/>
          </w:tcPr>
          <w:p>
            <w:pPr>
              <w:pStyle w:val="TableParagraph"/>
              <w:spacing w:before="49"/>
              <w:ind w:left="55" w:right="4"/>
              <w:rPr>
                <w:sz w:val="22"/>
              </w:rPr>
            </w:pPr>
            <w:r>
              <w:rPr>
                <w:spacing w:val="-5"/>
                <w:sz w:val="22"/>
              </w:rPr>
              <w:t>HS</w:t>
            </w:r>
          </w:p>
        </w:tc>
      </w:tr>
      <w:tr>
        <w:trPr>
          <w:trHeight w:val="361" w:hRule="atLeast"/>
        </w:trPr>
        <w:tc>
          <w:tcPr>
            <w:tcW w:w="772" w:type="dxa"/>
          </w:tcPr>
          <w:p>
            <w:pPr>
              <w:pStyle w:val="TableParagraph"/>
              <w:spacing w:before="49"/>
              <w:ind w:left="96"/>
              <w:rPr>
                <w:sz w:val="22"/>
              </w:rPr>
            </w:pPr>
            <w:r>
              <w:rPr>
                <w:spacing w:val="-5"/>
                <w:sz w:val="22"/>
              </w:rPr>
              <w:t>28.</w:t>
            </w:r>
          </w:p>
        </w:tc>
        <w:tc>
          <w:tcPr>
            <w:tcW w:w="2139" w:type="dxa"/>
          </w:tcPr>
          <w:p>
            <w:pPr>
              <w:pStyle w:val="TableParagraph"/>
              <w:spacing w:before="49"/>
              <w:ind w:left="199"/>
              <w:jc w:val="left"/>
              <w:rPr>
                <w:sz w:val="22"/>
              </w:rPr>
            </w:pPr>
            <w:r>
              <w:rPr>
                <w:spacing w:val="-2"/>
                <w:sz w:val="22"/>
              </w:rPr>
              <w:t>RMT-</w:t>
            </w:r>
            <w:r>
              <w:rPr>
                <w:spacing w:val="-5"/>
                <w:sz w:val="22"/>
              </w:rPr>
              <w:t>176</w:t>
            </w:r>
          </w:p>
        </w:tc>
        <w:tc>
          <w:tcPr>
            <w:tcW w:w="2131" w:type="dxa"/>
          </w:tcPr>
          <w:p>
            <w:pPr>
              <w:pStyle w:val="TableParagraph"/>
              <w:spacing w:before="49"/>
              <w:ind w:left="416" w:right="2"/>
              <w:rPr>
                <w:sz w:val="22"/>
              </w:rPr>
            </w:pPr>
            <w:r>
              <w:rPr>
                <w:spacing w:val="-5"/>
                <w:sz w:val="22"/>
              </w:rPr>
              <w:t>17</w:t>
            </w:r>
          </w:p>
        </w:tc>
        <w:tc>
          <w:tcPr>
            <w:tcW w:w="1655" w:type="dxa"/>
          </w:tcPr>
          <w:p>
            <w:pPr>
              <w:pStyle w:val="TableParagraph"/>
              <w:spacing w:before="49"/>
              <w:ind w:right="25"/>
              <w:rPr>
                <w:sz w:val="22"/>
              </w:rPr>
            </w:pPr>
            <w:r>
              <w:rPr>
                <w:spacing w:val="-5"/>
                <w:sz w:val="22"/>
              </w:rPr>
              <w:t>15</w:t>
            </w:r>
          </w:p>
        </w:tc>
        <w:tc>
          <w:tcPr>
            <w:tcW w:w="2098" w:type="dxa"/>
          </w:tcPr>
          <w:p>
            <w:pPr>
              <w:pStyle w:val="TableParagraph"/>
              <w:spacing w:before="49"/>
              <w:ind w:left="571"/>
              <w:jc w:val="left"/>
              <w:rPr>
                <w:sz w:val="22"/>
              </w:rPr>
            </w:pPr>
            <w:r>
              <w:rPr>
                <w:sz w:val="22"/>
              </w:rPr>
              <w:t>30.0 </w:t>
            </w:r>
            <w:r>
              <w:rPr>
                <w:spacing w:val="-2"/>
                <w:sz w:val="22"/>
              </w:rPr>
              <w:t>(35.2)</w:t>
            </w:r>
          </w:p>
        </w:tc>
        <w:tc>
          <w:tcPr>
            <w:tcW w:w="1328" w:type="dxa"/>
          </w:tcPr>
          <w:p>
            <w:pPr>
              <w:pStyle w:val="TableParagraph"/>
              <w:spacing w:before="49"/>
              <w:ind w:left="55" w:right="2"/>
              <w:rPr>
                <w:sz w:val="22"/>
              </w:rPr>
            </w:pPr>
            <w:r>
              <w:rPr>
                <w:spacing w:val="-5"/>
                <w:sz w:val="22"/>
              </w:rPr>
              <w:t>MS</w:t>
            </w:r>
          </w:p>
        </w:tc>
      </w:tr>
      <w:tr>
        <w:trPr>
          <w:trHeight w:val="361" w:hRule="atLeast"/>
        </w:trPr>
        <w:tc>
          <w:tcPr>
            <w:tcW w:w="772" w:type="dxa"/>
          </w:tcPr>
          <w:p>
            <w:pPr>
              <w:pStyle w:val="TableParagraph"/>
              <w:spacing w:before="50"/>
              <w:ind w:left="96"/>
              <w:rPr>
                <w:sz w:val="22"/>
              </w:rPr>
            </w:pPr>
            <w:r>
              <w:rPr>
                <w:spacing w:val="-5"/>
                <w:sz w:val="22"/>
              </w:rPr>
              <w:t>29.</w:t>
            </w:r>
          </w:p>
        </w:tc>
        <w:tc>
          <w:tcPr>
            <w:tcW w:w="2139" w:type="dxa"/>
          </w:tcPr>
          <w:p>
            <w:pPr>
              <w:pStyle w:val="TableParagraph"/>
              <w:spacing w:before="50"/>
              <w:ind w:left="199"/>
              <w:jc w:val="left"/>
              <w:rPr>
                <w:sz w:val="22"/>
              </w:rPr>
            </w:pPr>
            <w:r>
              <w:rPr>
                <w:spacing w:val="-2"/>
                <w:sz w:val="22"/>
              </w:rPr>
              <w:t>RMT-</w:t>
            </w:r>
            <w:r>
              <w:rPr>
                <w:spacing w:val="-5"/>
                <w:sz w:val="22"/>
              </w:rPr>
              <w:t>204</w:t>
            </w:r>
          </w:p>
        </w:tc>
        <w:tc>
          <w:tcPr>
            <w:tcW w:w="2131" w:type="dxa"/>
          </w:tcPr>
          <w:p>
            <w:pPr>
              <w:pStyle w:val="TableParagraph"/>
              <w:spacing w:before="50"/>
              <w:ind w:left="416" w:right="2"/>
              <w:rPr>
                <w:sz w:val="22"/>
              </w:rPr>
            </w:pPr>
            <w:r>
              <w:rPr>
                <w:spacing w:val="-5"/>
                <w:sz w:val="22"/>
              </w:rPr>
              <w:t>33</w:t>
            </w:r>
          </w:p>
        </w:tc>
        <w:tc>
          <w:tcPr>
            <w:tcW w:w="1655" w:type="dxa"/>
          </w:tcPr>
          <w:p>
            <w:pPr>
              <w:pStyle w:val="TableParagraph"/>
              <w:spacing w:before="50"/>
              <w:ind w:right="25"/>
              <w:rPr>
                <w:sz w:val="22"/>
              </w:rPr>
            </w:pPr>
            <w:r>
              <w:rPr>
                <w:spacing w:val="-5"/>
                <w:sz w:val="22"/>
              </w:rPr>
              <w:t>31</w:t>
            </w:r>
          </w:p>
        </w:tc>
        <w:tc>
          <w:tcPr>
            <w:tcW w:w="2098" w:type="dxa"/>
          </w:tcPr>
          <w:p>
            <w:pPr>
              <w:pStyle w:val="TableParagraph"/>
              <w:spacing w:before="50"/>
              <w:ind w:left="571"/>
              <w:jc w:val="left"/>
              <w:rPr>
                <w:sz w:val="22"/>
              </w:rPr>
            </w:pPr>
            <w:r>
              <w:rPr>
                <w:sz w:val="22"/>
              </w:rPr>
              <w:t>11.3 </w:t>
            </w:r>
            <w:r>
              <w:rPr>
                <w:spacing w:val="-2"/>
                <w:sz w:val="22"/>
              </w:rPr>
              <w:t>(26.2)</w:t>
            </w:r>
          </w:p>
        </w:tc>
        <w:tc>
          <w:tcPr>
            <w:tcW w:w="1328" w:type="dxa"/>
          </w:tcPr>
          <w:p>
            <w:pPr>
              <w:pStyle w:val="TableParagraph"/>
              <w:spacing w:before="50"/>
              <w:ind w:left="55" w:right="2"/>
              <w:rPr>
                <w:sz w:val="22"/>
              </w:rPr>
            </w:pPr>
            <w:r>
              <w:rPr>
                <w:spacing w:val="-5"/>
                <w:sz w:val="22"/>
              </w:rPr>
              <w:t>MR</w:t>
            </w:r>
          </w:p>
        </w:tc>
      </w:tr>
      <w:tr>
        <w:trPr>
          <w:trHeight w:val="361" w:hRule="atLeast"/>
        </w:trPr>
        <w:tc>
          <w:tcPr>
            <w:tcW w:w="772" w:type="dxa"/>
          </w:tcPr>
          <w:p>
            <w:pPr>
              <w:pStyle w:val="TableParagraph"/>
              <w:spacing w:before="49"/>
              <w:ind w:left="96"/>
              <w:rPr>
                <w:sz w:val="22"/>
              </w:rPr>
            </w:pPr>
            <w:r>
              <w:rPr>
                <w:spacing w:val="-5"/>
                <w:sz w:val="22"/>
              </w:rPr>
              <w:t>30.</w:t>
            </w:r>
          </w:p>
        </w:tc>
        <w:tc>
          <w:tcPr>
            <w:tcW w:w="2139" w:type="dxa"/>
          </w:tcPr>
          <w:p>
            <w:pPr>
              <w:pStyle w:val="TableParagraph"/>
              <w:spacing w:before="49"/>
              <w:ind w:left="199"/>
              <w:jc w:val="left"/>
              <w:rPr>
                <w:sz w:val="22"/>
              </w:rPr>
            </w:pPr>
            <w:r>
              <w:rPr>
                <w:spacing w:val="-2"/>
                <w:sz w:val="22"/>
              </w:rPr>
              <w:t>RMT-</w:t>
            </w:r>
            <w:r>
              <w:rPr>
                <w:spacing w:val="-5"/>
                <w:sz w:val="22"/>
              </w:rPr>
              <w:t>253</w:t>
            </w:r>
          </w:p>
        </w:tc>
        <w:tc>
          <w:tcPr>
            <w:tcW w:w="2131" w:type="dxa"/>
          </w:tcPr>
          <w:p>
            <w:pPr>
              <w:pStyle w:val="TableParagraph"/>
              <w:spacing w:before="49"/>
              <w:ind w:left="416" w:right="2"/>
              <w:rPr>
                <w:sz w:val="22"/>
              </w:rPr>
            </w:pPr>
            <w:r>
              <w:rPr>
                <w:spacing w:val="-5"/>
                <w:sz w:val="22"/>
              </w:rPr>
              <w:t>35</w:t>
            </w:r>
          </w:p>
        </w:tc>
        <w:tc>
          <w:tcPr>
            <w:tcW w:w="1655" w:type="dxa"/>
          </w:tcPr>
          <w:p>
            <w:pPr>
              <w:pStyle w:val="TableParagraph"/>
              <w:spacing w:before="49"/>
              <w:ind w:right="25"/>
              <w:rPr>
                <w:sz w:val="22"/>
              </w:rPr>
            </w:pPr>
            <w:r>
              <w:rPr>
                <w:spacing w:val="-5"/>
                <w:sz w:val="22"/>
              </w:rPr>
              <w:t>33</w:t>
            </w:r>
          </w:p>
        </w:tc>
        <w:tc>
          <w:tcPr>
            <w:tcW w:w="2098" w:type="dxa"/>
          </w:tcPr>
          <w:p>
            <w:pPr>
              <w:pStyle w:val="TableParagraph"/>
              <w:spacing w:before="49"/>
              <w:ind w:left="571"/>
              <w:jc w:val="left"/>
              <w:rPr>
                <w:sz w:val="22"/>
              </w:rPr>
            </w:pPr>
            <w:r>
              <w:rPr>
                <w:sz w:val="22"/>
              </w:rPr>
              <w:t>39.1 </w:t>
            </w:r>
            <w:r>
              <w:rPr>
                <w:spacing w:val="-2"/>
                <w:sz w:val="22"/>
              </w:rPr>
              <w:t>(38.4)</w:t>
            </w:r>
          </w:p>
        </w:tc>
        <w:tc>
          <w:tcPr>
            <w:tcW w:w="1328" w:type="dxa"/>
          </w:tcPr>
          <w:p>
            <w:pPr>
              <w:pStyle w:val="TableParagraph"/>
              <w:spacing w:before="49"/>
              <w:ind w:left="55" w:right="3"/>
              <w:rPr>
                <w:sz w:val="22"/>
              </w:rPr>
            </w:pPr>
            <w:r>
              <w:rPr>
                <w:spacing w:val="-10"/>
                <w:sz w:val="22"/>
              </w:rPr>
              <w:t>S</w:t>
            </w:r>
          </w:p>
        </w:tc>
      </w:tr>
      <w:tr>
        <w:trPr>
          <w:trHeight w:val="356" w:hRule="atLeast"/>
        </w:trPr>
        <w:tc>
          <w:tcPr>
            <w:tcW w:w="772" w:type="dxa"/>
            <w:tcBorders>
              <w:bottom w:val="single" w:sz="8" w:space="0" w:color="000000"/>
            </w:tcBorders>
          </w:tcPr>
          <w:p>
            <w:pPr>
              <w:pStyle w:val="TableParagraph"/>
              <w:spacing w:before="50"/>
              <w:ind w:left="96"/>
              <w:rPr>
                <w:sz w:val="22"/>
              </w:rPr>
            </w:pPr>
            <w:r>
              <w:rPr>
                <w:spacing w:val="-5"/>
                <w:sz w:val="22"/>
              </w:rPr>
              <w:t>31.</w:t>
            </w:r>
          </w:p>
        </w:tc>
        <w:tc>
          <w:tcPr>
            <w:tcW w:w="2139" w:type="dxa"/>
            <w:tcBorders>
              <w:bottom w:val="single" w:sz="8" w:space="0" w:color="000000"/>
            </w:tcBorders>
          </w:tcPr>
          <w:p>
            <w:pPr>
              <w:pStyle w:val="TableParagraph"/>
              <w:spacing w:before="50"/>
              <w:ind w:left="199"/>
              <w:jc w:val="left"/>
              <w:rPr>
                <w:sz w:val="22"/>
              </w:rPr>
            </w:pPr>
            <w:r>
              <w:rPr>
                <w:spacing w:val="-2"/>
                <w:sz w:val="22"/>
              </w:rPr>
              <w:t>VSP-</w:t>
            </w:r>
            <w:r>
              <w:rPr>
                <w:spacing w:val="-10"/>
                <w:sz w:val="22"/>
              </w:rPr>
              <w:t>5</w:t>
            </w:r>
          </w:p>
        </w:tc>
        <w:tc>
          <w:tcPr>
            <w:tcW w:w="2131" w:type="dxa"/>
            <w:tcBorders>
              <w:bottom w:val="single" w:sz="8" w:space="0" w:color="000000"/>
            </w:tcBorders>
          </w:tcPr>
          <w:p>
            <w:pPr>
              <w:pStyle w:val="TableParagraph"/>
              <w:spacing w:before="50"/>
              <w:ind w:left="416" w:right="2"/>
              <w:rPr>
                <w:sz w:val="22"/>
              </w:rPr>
            </w:pPr>
            <w:r>
              <w:rPr>
                <w:spacing w:val="-5"/>
                <w:sz w:val="22"/>
              </w:rPr>
              <w:t>36</w:t>
            </w:r>
          </w:p>
        </w:tc>
        <w:tc>
          <w:tcPr>
            <w:tcW w:w="1655" w:type="dxa"/>
            <w:tcBorders>
              <w:bottom w:val="single" w:sz="8" w:space="0" w:color="000000"/>
            </w:tcBorders>
          </w:tcPr>
          <w:p>
            <w:pPr>
              <w:pStyle w:val="TableParagraph"/>
              <w:spacing w:before="50"/>
              <w:ind w:right="25"/>
              <w:rPr>
                <w:sz w:val="22"/>
              </w:rPr>
            </w:pPr>
            <w:r>
              <w:rPr>
                <w:spacing w:val="-5"/>
                <w:sz w:val="22"/>
              </w:rPr>
              <w:t>35</w:t>
            </w:r>
          </w:p>
        </w:tc>
        <w:tc>
          <w:tcPr>
            <w:tcW w:w="2098" w:type="dxa"/>
            <w:tcBorders>
              <w:bottom w:val="single" w:sz="8" w:space="0" w:color="000000"/>
            </w:tcBorders>
          </w:tcPr>
          <w:p>
            <w:pPr>
              <w:pStyle w:val="TableParagraph"/>
              <w:spacing w:before="50"/>
              <w:ind w:left="571"/>
              <w:jc w:val="left"/>
              <w:rPr>
                <w:sz w:val="22"/>
              </w:rPr>
            </w:pPr>
            <w:r>
              <w:rPr>
                <w:sz w:val="22"/>
              </w:rPr>
              <w:t>15.0 </w:t>
            </w:r>
            <w:r>
              <w:rPr>
                <w:spacing w:val="-2"/>
                <w:sz w:val="22"/>
              </w:rPr>
              <w:t>(28.2)</w:t>
            </w:r>
          </w:p>
        </w:tc>
        <w:tc>
          <w:tcPr>
            <w:tcW w:w="1328" w:type="dxa"/>
            <w:tcBorders>
              <w:bottom w:val="single" w:sz="8" w:space="0" w:color="000000"/>
            </w:tcBorders>
          </w:tcPr>
          <w:p>
            <w:pPr>
              <w:pStyle w:val="TableParagraph"/>
              <w:spacing w:before="50"/>
              <w:ind w:left="55" w:right="2"/>
              <w:rPr>
                <w:sz w:val="22"/>
              </w:rPr>
            </w:pPr>
            <w:r>
              <w:rPr>
                <w:spacing w:val="-5"/>
                <w:sz w:val="22"/>
              </w:rPr>
              <w:t>MR</w:t>
            </w:r>
          </w:p>
        </w:tc>
      </w:tr>
    </w:tbl>
    <w:p>
      <w:pPr>
        <w:spacing w:before="228"/>
        <w:ind w:left="0" w:right="1" w:firstLine="0"/>
        <w:jc w:val="right"/>
        <w:rPr>
          <w:b/>
          <w:sz w:val="22"/>
        </w:rPr>
      </w:pPr>
      <w:r>
        <w:rPr>
          <w:b/>
          <w:color w:val="231F20"/>
          <w:spacing w:val="-2"/>
          <w:sz w:val="22"/>
        </w:rPr>
        <w:t>Cont...</w:t>
      </w:r>
    </w:p>
    <w:p>
      <w:pPr>
        <w:spacing w:after="0"/>
        <w:jc w:val="right"/>
        <w:rPr>
          <w:b/>
          <w:sz w:val="22"/>
        </w:rPr>
        <w:sectPr>
          <w:footerReference w:type="default" r:id="rId12"/>
          <w:footerReference w:type="even" r:id="rId13"/>
          <w:pgSz w:w="12480" w:h="15880"/>
          <w:pgMar w:header="0" w:footer="988" w:top="1180" w:bottom="1180" w:left="1133" w:right="1133"/>
          <w:pgNumType w:start="17"/>
        </w:sectPr>
      </w:pPr>
    </w:p>
    <w:p>
      <w:pPr>
        <w:pStyle w:val="BodyText"/>
        <w:spacing w:before="132"/>
        <w:ind w:left="0"/>
        <w:rPr>
          <w:b/>
        </w:rPr>
      </w:pPr>
    </w:p>
    <w:p>
      <w:pPr>
        <w:spacing w:before="0"/>
        <w:ind w:left="1" w:right="0" w:firstLine="0"/>
        <w:jc w:val="left"/>
        <w:rPr>
          <w:b/>
          <w:sz w:val="22"/>
        </w:rPr>
      </w:pPr>
      <w:r>
        <w:rPr>
          <w:b/>
          <w:color w:val="231F20"/>
          <w:sz w:val="22"/>
        </w:rPr>
        <w:t>Table</w:t>
      </w:r>
      <w:r>
        <w:rPr>
          <w:b/>
          <w:color w:val="231F20"/>
          <w:spacing w:val="-6"/>
          <w:sz w:val="22"/>
        </w:rPr>
        <w:t> </w:t>
      </w:r>
      <w:r>
        <w:rPr>
          <w:b/>
          <w:color w:val="231F20"/>
          <w:sz w:val="22"/>
        </w:rPr>
        <w:t>2.</w:t>
      </w:r>
      <w:r>
        <w:rPr>
          <w:b/>
          <w:color w:val="231F20"/>
          <w:spacing w:val="-3"/>
          <w:sz w:val="22"/>
        </w:rPr>
        <w:t> </w:t>
      </w:r>
      <w:r>
        <w:rPr>
          <w:b/>
          <w:color w:val="231F20"/>
          <w:sz w:val="22"/>
        </w:rPr>
        <w:t>Screening</w:t>
      </w:r>
      <w:r>
        <w:rPr>
          <w:b/>
          <w:color w:val="231F20"/>
          <w:spacing w:val="-4"/>
          <w:sz w:val="22"/>
        </w:rPr>
        <w:t> </w:t>
      </w:r>
      <w:r>
        <w:rPr>
          <w:b/>
          <w:color w:val="231F20"/>
          <w:sz w:val="22"/>
        </w:rPr>
        <w:t>of</w:t>
      </w:r>
      <w:r>
        <w:rPr>
          <w:b/>
          <w:color w:val="231F20"/>
          <w:spacing w:val="-3"/>
          <w:sz w:val="22"/>
        </w:rPr>
        <w:t> </w:t>
      </w:r>
      <w:r>
        <w:rPr>
          <w:b/>
          <w:color w:val="231F20"/>
          <w:sz w:val="22"/>
        </w:rPr>
        <w:t>sesame</w:t>
      </w:r>
      <w:r>
        <w:rPr>
          <w:b/>
          <w:color w:val="231F20"/>
          <w:spacing w:val="-4"/>
          <w:sz w:val="22"/>
        </w:rPr>
        <w:t> </w:t>
      </w:r>
      <w:r>
        <w:rPr>
          <w:b/>
          <w:color w:val="231F20"/>
          <w:sz w:val="22"/>
        </w:rPr>
        <w:t>genotypes</w:t>
      </w:r>
      <w:r>
        <w:rPr>
          <w:b/>
          <w:color w:val="231F20"/>
          <w:spacing w:val="-4"/>
          <w:sz w:val="22"/>
        </w:rPr>
        <w:t> </w:t>
      </w:r>
      <w:r>
        <w:rPr>
          <w:b/>
          <w:color w:val="231F20"/>
          <w:sz w:val="22"/>
        </w:rPr>
        <w:t>against</w:t>
      </w:r>
      <w:r>
        <w:rPr>
          <w:b/>
          <w:color w:val="231F20"/>
          <w:spacing w:val="-4"/>
          <w:sz w:val="22"/>
        </w:rPr>
        <w:t> </w:t>
      </w:r>
      <w:r>
        <w:rPr>
          <w:b/>
          <w:color w:val="231F20"/>
          <w:sz w:val="22"/>
        </w:rPr>
        <w:t>stem</w:t>
      </w:r>
      <w:r>
        <w:rPr>
          <w:b/>
          <w:color w:val="231F20"/>
          <w:spacing w:val="-3"/>
          <w:sz w:val="22"/>
        </w:rPr>
        <w:t> </w:t>
      </w:r>
      <w:r>
        <w:rPr>
          <w:b/>
          <w:color w:val="231F20"/>
          <w:sz w:val="22"/>
        </w:rPr>
        <w:t>and</w:t>
      </w:r>
      <w:r>
        <w:rPr>
          <w:b/>
          <w:color w:val="231F20"/>
          <w:spacing w:val="-4"/>
          <w:sz w:val="22"/>
        </w:rPr>
        <w:t> </w:t>
      </w:r>
      <w:r>
        <w:rPr>
          <w:b/>
          <w:color w:val="231F20"/>
          <w:sz w:val="22"/>
        </w:rPr>
        <w:t>root</w:t>
      </w:r>
      <w:r>
        <w:rPr>
          <w:b/>
          <w:color w:val="231F20"/>
          <w:spacing w:val="-4"/>
          <w:sz w:val="22"/>
        </w:rPr>
        <w:t> </w:t>
      </w:r>
      <w:r>
        <w:rPr>
          <w:b/>
          <w:color w:val="231F20"/>
          <w:sz w:val="22"/>
        </w:rPr>
        <w:t>rot</w:t>
      </w:r>
      <w:r>
        <w:rPr>
          <w:b/>
          <w:color w:val="231F20"/>
          <w:spacing w:val="-3"/>
          <w:sz w:val="22"/>
        </w:rPr>
        <w:t> </w:t>
      </w:r>
      <w:r>
        <w:rPr>
          <w:b/>
          <w:color w:val="231F20"/>
          <w:sz w:val="22"/>
        </w:rPr>
        <w:t>disease</w:t>
      </w:r>
      <w:r>
        <w:rPr>
          <w:b/>
          <w:color w:val="231F20"/>
          <w:spacing w:val="-4"/>
          <w:sz w:val="22"/>
        </w:rPr>
        <w:t> </w:t>
      </w:r>
      <w:r>
        <w:rPr>
          <w:b/>
          <w:color w:val="231F20"/>
          <w:sz w:val="22"/>
        </w:rPr>
        <w:t>in</w:t>
      </w:r>
      <w:r>
        <w:rPr>
          <w:b/>
          <w:color w:val="231F20"/>
          <w:spacing w:val="-4"/>
          <w:sz w:val="22"/>
        </w:rPr>
        <w:t> </w:t>
      </w:r>
      <w:r>
        <w:rPr>
          <w:b/>
          <w:color w:val="231F20"/>
          <w:sz w:val="22"/>
        </w:rPr>
        <w:t>sick</w:t>
      </w:r>
      <w:r>
        <w:rPr>
          <w:b/>
          <w:color w:val="231F20"/>
          <w:spacing w:val="-4"/>
          <w:sz w:val="22"/>
        </w:rPr>
        <w:t> plot</w:t>
      </w:r>
    </w:p>
    <w:p>
      <w:pPr>
        <w:pStyle w:val="BodyText"/>
        <w:spacing w:before="2"/>
        <w:ind w:left="0"/>
        <w:rPr>
          <w:b/>
          <w:sz w:val="10"/>
        </w:rPr>
      </w:pPr>
    </w:p>
    <w:tbl>
      <w:tblPr>
        <w:tblW w:w="0" w:type="auto"/>
        <w:jc w:val="left"/>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5"/>
        <w:gridCol w:w="2480"/>
        <w:gridCol w:w="1790"/>
        <w:gridCol w:w="1655"/>
        <w:gridCol w:w="2098"/>
        <w:gridCol w:w="1303"/>
      </w:tblGrid>
      <w:tr>
        <w:trPr>
          <w:trHeight w:val="292" w:hRule="atLeast"/>
        </w:trPr>
        <w:tc>
          <w:tcPr>
            <w:tcW w:w="5035" w:type="dxa"/>
            <w:gridSpan w:val="3"/>
            <w:tcBorders>
              <w:top w:val="single" w:sz="8" w:space="0" w:color="000000"/>
            </w:tcBorders>
          </w:tcPr>
          <w:p>
            <w:pPr>
              <w:pStyle w:val="TableParagraph"/>
              <w:tabs>
                <w:tab w:pos="1241" w:val="left" w:leader="none"/>
                <w:tab w:pos="3615" w:val="left" w:leader="none"/>
              </w:tabs>
              <w:spacing w:line="234" w:lineRule="exact" w:before="38"/>
              <w:ind w:left="175"/>
              <w:jc w:val="left"/>
              <w:rPr>
                <w:b/>
                <w:position w:val="13"/>
                <w:sz w:val="22"/>
              </w:rPr>
            </w:pPr>
            <w:r>
              <w:rPr>
                <w:b/>
                <w:sz w:val="22"/>
              </w:rPr>
              <w:t>S.</w:t>
            </w:r>
            <w:r>
              <w:rPr>
                <w:b/>
                <w:spacing w:val="-1"/>
                <w:sz w:val="22"/>
              </w:rPr>
              <w:t> </w:t>
            </w:r>
            <w:r>
              <w:rPr>
                <w:b/>
                <w:spacing w:val="-5"/>
                <w:sz w:val="22"/>
              </w:rPr>
              <w:t>No</w:t>
            </w:r>
            <w:r>
              <w:rPr>
                <w:b/>
                <w:sz w:val="22"/>
              </w:rPr>
              <w:tab/>
              <w:t>Sesame</w:t>
            </w:r>
            <w:r>
              <w:rPr>
                <w:b/>
                <w:spacing w:val="-3"/>
                <w:sz w:val="22"/>
              </w:rPr>
              <w:t> </w:t>
            </w:r>
            <w:r>
              <w:rPr>
                <w:b/>
                <w:spacing w:val="-2"/>
                <w:sz w:val="22"/>
              </w:rPr>
              <w:t>genotypes</w:t>
            </w:r>
            <w:r>
              <w:rPr>
                <w:b/>
                <w:sz w:val="22"/>
              </w:rPr>
              <w:tab/>
            </w:r>
            <w:r>
              <w:rPr>
                <w:b/>
                <w:position w:val="13"/>
                <w:sz w:val="22"/>
              </w:rPr>
              <w:t>Initial</w:t>
            </w:r>
            <w:r>
              <w:rPr>
                <w:b/>
                <w:spacing w:val="-3"/>
                <w:position w:val="13"/>
                <w:sz w:val="22"/>
              </w:rPr>
              <w:t> </w:t>
            </w:r>
            <w:r>
              <w:rPr>
                <w:b/>
                <w:spacing w:val="-4"/>
                <w:position w:val="13"/>
                <w:sz w:val="22"/>
              </w:rPr>
              <w:t>plant</w:t>
            </w:r>
          </w:p>
        </w:tc>
        <w:tc>
          <w:tcPr>
            <w:tcW w:w="1655" w:type="dxa"/>
            <w:tcBorders>
              <w:top w:val="single" w:sz="8" w:space="0" w:color="000000"/>
            </w:tcBorders>
          </w:tcPr>
          <w:p>
            <w:pPr>
              <w:pStyle w:val="TableParagraph"/>
              <w:spacing w:line="233" w:lineRule="exact" w:before="39"/>
              <w:ind w:left="2" w:right="25"/>
              <w:rPr>
                <w:b/>
                <w:sz w:val="22"/>
              </w:rPr>
            </w:pPr>
            <w:r>
              <w:rPr>
                <w:b/>
                <w:sz w:val="22"/>
              </w:rPr>
              <w:t>Final</w:t>
            </w:r>
            <w:r>
              <w:rPr>
                <w:b/>
                <w:spacing w:val="-2"/>
                <w:sz w:val="22"/>
              </w:rPr>
              <w:t> plant</w:t>
            </w:r>
          </w:p>
        </w:tc>
        <w:tc>
          <w:tcPr>
            <w:tcW w:w="2098" w:type="dxa"/>
            <w:tcBorders>
              <w:top w:val="single" w:sz="8" w:space="0" w:color="000000"/>
            </w:tcBorders>
          </w:tcPr>
          <w:p>
            <w:pPr>
              <w:pStyle w:val="TableParagraph"/>
              <w:spacing w:line="233" w:lineRule="exact" w:before="39"/>
              <w:ind w:left="23" w:right="1"/>
              <w:rPr>
                <w:b/>
                <w:sz w:val="22"/>
              </w:rPr>
            </w:pPr>
            <w:r>
              <w:rPr>
                <w:b/>
                <w:sz w:val="22"/>
              </w:rPr>
              <w:t>Percent</w:t>
            </w:r>
            <w:r>
              <w:rPr>
                <w:b/>
                <w:spacing w:val="-3"/>
                <w:sz w:val="22"/>
              </w:rPr>
              <w:t> </w:t>
            </w:r>
            <w:r>
              <w:rPr>
                <w:b/>
                <w:spacing w:val="-2"/>
                <w:sz w:val="22"/>
              </w:rPr>
              <w:t>disease</w:t>
            </w:r>
          </w:p>
        </w:tc>
        <w:tc>
          <w:tcPr>
            <w:tcW w:w="1303" w:type="dxa"/>
            <w:tcBorders>
              <w:top w:val="single" w:sz="8" w:space="0" w:color="000000"/>
            </w:tcBorders>
          </w:tcPr>
          <w:p>
            <w:pPr>
              <w:pStyle w:val="TableParagraph"/>
              <w:spacing w:line="233" w:lineRule="exact" w:before="39"/>
              <w:ind w:left="79" w:right="3"/>
              <w:rPr>
                <w:b/>
                <w:sz w:val="22"/>
              </w:rPr>
            </w:pPr>
            <w:r>
              <w:rPr>
                <w:b/>
                <w:spacing w:val="-2"/>
                <w:sz w:val="22"/>
              </w:rPr>
              <w:t>Disease</w:t>
            </w:r>
          </w:p>
        </w:tc>
      </w:tr>
      <w:tr>
        <w:trPr>
          <w:trHeight w:val="292" w:hRule="atLeast"/>
        </w:trPr>
        <w:tc>
          <w:tcPr>
            <w:tcW w:w="765" w:type="dxa"/>
            <w:tcBorders>
              <w:bottom w:val="single" w:sz="8" w:space="0" w:color="000000"/>
            </w:tcBorders>
          </w:tcPr>
          <w:p>
            <w:pPr>
              <w:pStyle w:val="TableParagraph"/>
              <w:spacing w:before="0"/>
              <w:jc w:val="left"/>
              <w:rPr>
                <w:sz w:val="20"/>
              </w:rPr>
            </w:pPr>
          </w:p>
        </w:tc>
        <w:tc>
          <w:tcPr>
            <w:tcW w:w="2480" w:type="dxa"/>
            <w:tcBorders>
              <w:bottom w:val="single" w:sz="8" w:space="0" w:color="000000"/>
            </w:tcBorders>
          </w:tcPr>
          <w:p>
            <w:pPr>
              <w:pStyle w:val="TableParagraph"/>
              <w:spacing w:before="0"/>
              <w:jc w:val="left"/>
              <w:rPr>
                <w:sz w:val="20"/>
              </w:rPr>
            </w:pPr>
          </w:p>
        </w:tc>
        <w:tc>
          <w:tcPr>
            <w:tcW w:w="1790" w:type="dxa"/>
            <w:tcBorders>
              <w:bottom w:val="single" w:sz="8" w:space="0" w:color="000000"/>
            </w:tcBorders>
          </w:tcPr>
          <w:p>
            <w:pPr>
              <w:pStyle w:val="TableParagraph"/>
              <w:spacing w:line="244" w:lineRule="exact" w:before="0"/>
              <w:ind w:left="75"/>
              <w:rPr>
                <w:b/>
                <w:sz w:val="22"/>
              </w:rPr>
            </w:pPr>
            <w:r>
              <w:rPr>
                <w:b/>
                <w:spacing w:val="-2"/>
                <w:sz w:val="22"/>
              </w:rPr>
              <w:t>stand*</w:t>
            </w:r>
          </w:p>
        </w:tc>
        <w:tc>
          <w:tcPr>
            <w:tcW w:w="1655" w:type="dxa"/>
            <w:tcBorders>
              <w:bottom w:val="single" w:sz="8" w:space="0" w:color="000000"/>
            </w:tcBorders>
          </w:tcPr>
          <w:p>
            <w:pPr>
              <w:pStyle w:val="TableParagraph"/>
              <w:spacing w:line="244" w:lineRule="exact" w:before="0"/>
              <w:ind w:left="2" w:right="25"/>
              <w:rPr>
                <w:b/>
                <w:sz w:val="22"/>
              </w:rPr>
            </w:pPr>
            <w:r>
              <w:rPr>
                <w:b/>
                <w:spacing w:val="-2"/>
                <w:sz w:val="22"/>
              </w:rPr>
              <w:t>stand*</w:t>
            </w:r>
          </w:p>
        </w:tc>
        <w:tc>
          <w:tcPr>
            <w:tcW w:w="2098" w:type="dxa"/>
            <w:tcBorders>
              <w:bottom w:val="single" w:sz="8" w:space="0" w:color="000000"/>
            </w:tcBorders>
          </w:tcPr>
          <w:p>
            <w:pPr>
              <w:pStyle w:val="TableParagraph"/>
              <w:spacing w:line="244" w:lineRule="exact" w:before="0"/>
              <w:ind w:left="23" w:right="3"/>
              <w:rPr>
                <w:b/>
                <w:sz w:val="22"/>
              </w:rPr>
            </w:pPr>
            <w:r>
              <w:rPr>
                <w:b/>
                <w:sz w:val="22"/>
              </w:rPr>
              <w:t>incidence</w:t>
            </w:r>
            <w:r>
              <w:rPr>
                <w:b/>
                <w:spacing w:val="-7"/>
                <w:sz w:val="22"/>
              </w:rPr>
              <w:t> </w:t>
            </w:r>
            <w:r>
              <w:rPr>
                <w:b/>
                <w:sz w:val="22"/>
              </w:rPr>
              <w:t>(%)</w:t>
            </w:r>
            <w:r>
              <w:rPr>
                <w:b/>
                <w:spacing w:val="-2"/>
                <w:sz w:val="22"/>
              </w:rPr>
              <w:t> </w:t>
            </w:r>
            <w:r>
              <w:rPr>
                <w:b/>
                <w:spacing w:val="-10"/>
                <w:sz w:val="22"/>
              </w:rPr>
              <w:t>*</w:t>
            </w:r>
          </w:p>
        </w:tc>
        <w:tc>
          <w:tcPr>
            <w:tcW w:w="1303" w:type="dxa"/>
            <w:tcBorders>
              <w:bottom w:val="single" w:sz="8" w:space="0" w:color="000000"/>
            </w:tcBorders>
          </w:tcPr>
          <w:p>
            <w:pPr>
              <w:pStyle w:val="TableParagraph"/>
              <w:spacing w:line="244" w:lineRule="exact" w:before="0"/>
              <w:ind w:left="79"/>
              <w:rPr>
                <w:b/>
                <w:sz w:val="22"/>
              </w:rPr>
            </w:pPr>
            <w:r>
              <w:rPr>
                <w:b/>
                <w:spacing w:val="-2"/>
                <w:sz w:val="22"/>
              </w:rPr>
              <w:t>reaction</w:t>
            </w:r>
          </w:p>
        </w:tc>
      </w:tr>
      <w:tr>
        <w:trPr>
          <w:trHeight w:val="341" w:hRule="atLeast"/>
        </w:trPr>
        <w:tc>
          <w:tcPr>
            <w:tcW w:w="765" w:type="dxa"/>
            <w:tcBorders>
              <w:top w:val="single" w:sz="8" w:space="0" w:color="000000"/>
            </w:tcBorders>
          </w:tcPr>
          <w:p>
            <w:pPr>
              <w:pStyle w:val="TableParagraph"/>
              <w:spacing w:before="44"/>
              <w:ind w:left="89"/>
              <w:rPr>
                <w:sz w:val="22"/>
              </w:rPr>
            </w:pPr>
            <w:r>
              <w:rPr>
                <w:spacing w:val="-5"/>
                <w:sz w:val="22"/>
              </w:rPr>
              <w:t>32.</w:t>
            </w:r>
          </w:p>
        </w:tc>
        <w:tc>
          <w:tcPr>
            <w:tcW w:w="2480" w:type="dxa"/>
            <w:tcBorders>
              <w:top w:val="single" w:sz="8" w:space="0" w:color="000000"/>
            </w:tcBorders>
          </w:tcPr>
          <w:p>
            <w:pPr>
              <w:pStyle w:val="TableParagraph"/>
              <w:spacing w:before="44"/>
              <w:ind w:left="199"/>
              <w:jc w:val="left"/>
              <w:rPr>
                <w:sz w:val="22"/>
              </w:rPr>
            </w:pPr>
            <w:r>
              <w:rPr>
                <w:spacing w:val="-2"/>
                <w:sz w:val="22"/>
              </w:rPr>
              <w:t>VSP-</w:t>
            </w:r>
            <w:r>
              <w:rPr>
                <w:spacing w:val="-10"/>
                <w:sz w:val="22"/>
              </w:rPr>
              <w:t>6</w:t>
            </w:r>
          </w:p>
        </w:tc>
        <w:tc>
          <w:tcPr>
            <w:tcW w:w="1790" w:type="dxa"/>
            <w:tcBorders>
              <w:top w:val="single" w:sz="8" w:space="0" w:color="000000"/>
            </w:tcBorders>
          </w:tcPr>
          <w:p>
            <w:pPr>
              <w:pStyle w:val="TableParagraph"/>
              <w:spacing w:before="44"/>
              <w:ind w:left="75" w:right="2"/>
              <w:rPr>
                <w:sz w:val="22"/>
              </w:rPr>
            </w:pPr>
            <w:r>
              <w:rPr>
                <w:spacing w:val="-5"/>
                <w:sz w:val="22"/>
              </w:rPr>
              <w:t>30</w:t>
            </w:r>
          </w:p>
        </w:tc>
        <w:tc>
          <w:tcPr>
            <w:tcW w:w="1655" w:type="dxa"/>
            <w:tcBorders>
              <w:top w:val="single" w:sz="8" w:space="0" w:color="000000"/>
            </w:tcBorders>
          </w:tcPr>
          <w:p>
            <w:pPr>
              <w:pStyle w:val="TableParagraph"/>
              <w:spacing w:before="44"/>
              <w:ind w:right="25"/>
              <w:rPr>
                <w:sz w:val="22"/>
              </w:rPr>
            </w:pPr>
            <w:r>
              <w:rPr>
                <w:spacing w:val="-5"/>
                <w:sz w:val="22"/>
              </w:rPr>
              <w:t>23</w:t>
            </w:r>
          </w:p>
        </w:tc>
        <w:tc>
          <w:tcPr>
            <w:tcW w:w="2098" w:type="dxa"/>
            <w:tcBorders>
              <w:top w:val="single" w:sz="8" w:space="0" w:color="000000"/>
            </w:tcBorders>
          </w:tcPr>
          <w:p>
            <w:pPr>
              <w:pStyle w:val="TableParagraph"/>
              <w:spacing w:before="44"/>
              <w:ind w:left="570"/>
              <w:jc w:val="left"/>
              <w:rPr>
                <w:sz w:val="22"/>
              </w:rPr>
            </w:pPr>
            <w:r>
              <w:rPr>
                <w:sz w:val="22"/>
              </w:rPr>
              <w:t>27.8 </w:t>
            </w:r>
            <w:r>
              <w:rPr>
                <w:spacing w:val="-2"/>
                <w:sz w:val="22"/>
              </w:rPr>
              <w:t>(34.3)</w:t>
            </w:r>
          </w:p>
        </w:tc>
        <w:tc>
          <w:tcPr>
            <w:tcW w:w="1303" w:type="dxa"/>
            <w:tcBorders>
              <w:top w:val="single" w:sz="8" w:space="0" w:color="000000"/>
            </w:tcBorders>
          </w:tcPr>
          <w:p>
            <w:pPr>
              <w:pStyle w:val="TableParagraph"/>
              <w:spacing w:before="44"/>
              <w:ind w:left="79" w:right="2"/>
              <w:rPr>
                <w:sz w:val="22"/>
              </w:rPr>
            </w:pPr>
            <w:r>
              <w:rPr>
                <w:spacing w:val="-5"/>
                <w:sz w:val="22"/>
              </w:rPr>
              <w:t>MS</w:t>
            </w:r>
          </w:p>
        </w:tc>
      </w:tr>
      <w:tr>
        <w:trPr>
          <w:trHeight w:val="332" w:hRule="atLeast"/>
        </w:trPr>
        <w:tc>
          <w:tcPr>
            <w:tcW w:w="765" w:type="dxa"/>
          </w:tcPr>
          <w:p>
            <w:pPr>
              <w:pStyle w:val="TableParagraph"/>
              <w:ind w:left="89"/>
              <w:rPr>
                <w:sz w:val="22"/>
              </w:rPr>
            </w:pPr>
            <w:r>
              <w:rPr>
                <w:spacing w:val="-5"/>
                <w:sz w:val="22"/>
              </w:rPr>
              <w:t>33.</w:t>
            </w:r>
          </w:p>
        </w:tc>
        <w:tc>
          <w:tcPr>
            <w:tcW w:w="2480" w:type="dxa"/>
          </w:tcPr>
          <w:p>
            <w:pPr>
              <w:pStyle w:val="TableParagraph"/>
              <w:ind w:left="199"/>
              <w:jc w:val="left"/>
              <w:rPr>
                <w:sz w:val="22"/>
              </w:rPr>
            </w:pPr>
            <w:r>
              <w:rPr>
                <w:spacing w:val="-2"/>
                <w:sz w:val="22"/>
              </w:rPr>
              <w:t>VSP-</w:t>
            </w:r>
            <w:r>
              <w:rPr>
                <w:spacing w:val="-5"/>
                <w:sz w:val="22"/>
              </w:rPr>
              <w:t>16</w:t>
            </w:r>
          </w:p>
        </w:tc>
        <w:tc>
          <w:tcPr>
            <w:tcW w:w="1790" w:type="dxa"/>
          </w:tcPr>
          <w:p>
            <w:pPr>
              <w:pStyle w:val="TableParagraph"/>
              <w:ind w:left="75" w:right="2"/>
              <w:rPr>
                <w:sz w:val="22"/>
              </w:rPr>
            </w:pPr>
            <w:r>
              <w:rPr>
                <w:spacing w:val="-5"/>
                <w:sz w:val="22"/>
              </w:rPr>
              <w:t>37</w:t>
            </w:r>
          </w:p>
        </w:tc>
        <w:tc>
          <w:tcPr>
            <w:tcW w:w="1655" w:type="dxa"/>
          </w:tcPr>
          <w:p>
            <w:pPr>
              <w:pStyle w:val="TableParagraph"/>
              <w:ind w:right="25"/>
              <w:rPr>
                <w:sz w:val="22"/>
              </w:rPr>
            </w:pPr>
            <w:r>
              <w:rPr>
                <w:spacing w:val="-5"/>
                <w:sz w:val="22"/>
              </w:rPr>
              <w:t>37</w:t>
            </w:r>
          </w:p>
        </w:tc>
        <w:tc>
          <w:tcPr>
            <w:tcW w:w="2098" w:type="dxa"/>
          </w:tcPr>
          <w:p>
            <w:pPr>
              <w:pStyle w:val="TableParagraph"/>
              <w:ind w:left="626"/>
              <w:jc w:val="left"/>
              <w:rPr>
                <w:sz w:val="22"/>
              </w:rPr>
            </w:pPr>
            <w:r>
              <w:rPr>
                <w:sz w:val="22"/>
              </w:rPr>
              <w:t>5.7 </w:t>
            </w:r>
            <w:r>
              <w:rPr>
                <w:spacing w:val="-2"/>
                <w:sz w:val="22"/>
              </w:rPr>
              <w:t>(21.1)</w:t>
            </w:r>
          </w:p>
        </w:tc>
        <w:tc>
          <w:tcPr>
            <w:tcW w:w="1303" w:type="dxa"/>
          </w:tcPr>
          <w:p>
            <w:pPr>
              <w:pStyle w:val="TableParagraph"/>
              <w:ind w:left="79" w:right="2"/>
              <w:rPr>
                <w:sz w:val="22"/>
              </w:rPr>
            </w:pPr>
            <w:r>
              <w:rPr>
                <w:spacing w:val="-10"/>
                <w:sz w:val="22"/>
              </w:rPr>
              <w:t>R</w:t>
            </w:r>
          </w:p>
        </w:tc>
      </w:tr>
      <w:tr>
        <w:trPr>
          <w:trHeight w:val="332" w:hRule="atLeast"/>
        </w:trPr>
        <w:tc>
          <w:tcPr>
            <w:tcW w:w="765" w:type="dxa"/>
          </w:tcPr>
          <w:p>
            <w:pPr>
              <w:pStyle w:val="TableParagraph"/>
              <w:spacing w:before="34"/>
              <w:ind w:left="89"/>
              <w:rPr>
                <w:sz w:val="22"/>
              </w:rPr>
            </w:pPr>
            <w:r>
              <w:rPr>
                <w:spacing w:val="-5"/>
                <w:sz w:val="22"/>
              </w:rPr>
              <w:t>34.</w:t>
            </w:r>
          </w:p>
        </w:tc>
        <w:tc>
          <w:tcPr>
            <w:tcW w:w="2480" w:type="dxa"/>
          </w:tcPr>
          <w:p>
            <w:pPr>
              <w:pStyle w:val="TableParagraph"/>
              <w:spacing w:before="34"/>
              <w:ind w:left="199"/>
              <w:jc w:val="left"/>
              <w:rPr>
                <w:sz w:val="22"/>
              </w:rPr>
            </w:pPr>
            <w:r>
              <w:rPr>
                <w:spacing w:val="-2"/>
                <w:sz w:val="22"/>
              </w:rPr>
              <w:t>JCS-</w:t>
            </w:r>
            <w:r>
              <w:rPr>
                <w:spacing w:val="-5"/>
                <w:sz w:val="22"/>
              </w:rPr>
              <w:t>706</w:t>
            </w:r>
          </w:p>
        </w:tc>
        <w:tc>
          <w:tcPr>
            <w:tcW w:w="1790" w:type="dxa"/>
          </w:tcPr>
          <w:p>
            <w:pPr>
              <w:pStyle w:val="TableParagraph"/>
              <w:spacing w:before="34"/>
              <w:ind w:left="75" w:right="2"/>
              <w:rPr>
                <w:sz w:val="22"/>
              </w:rPr>
            </w:pPr>
            <w:r>
              <w:rPr>
                <w:spacing w:val="-5"/>
                <w:sz w:val="22"/>
              </w:rPr>
              <w:t>24</w:t>
            </w:r>
          </w:p>
        </w:tc>
        <w:tc>
          <w:tcPr>
            <w:tcW w:w="1655" w:type="dxa"/>
          </w:tcPr>
          <w:p>
            <w:pPr>
              <w:pStyle w:val="TableParagraph"/>
              <w:spacing w:before="34"/>
              <w:ind w:right="25"/>
              <w:rPr>
                <w:sz w:val="22"/>
              </w:rPr>
            </w:pPr>
            <w:r>
              <w:rPr>
                <w:spacing w:val="-5"/>
                <w:sz w:val="22"/>
              </w:rPr>
              <w:t>23</w:t>
            </w:r>
          </w:p>
        </w:tc>
        <w:tc>
          <w:tcPr>
            <w:tcW w:w="2098" w:type="dxa"/>
          </w:tcPr>
          <w:p>
            <w:pPr>
              <w:pStyle w:val="TableParagraph"/>
              <w:spacing w:before="34"/>
              <w:ind w:left="570"/>
              <w:jc w:val="left"/>
              <w:rPr>
                <w:sz w:val="22"/>
              </w:rPr>
            </w:pPr>
            <w:r>
              <w:rPr>
                <w:sz w:val="22"/>
              </w:rPr>
              <w:t>42.7 </w:t>
            </w:r>
            <w:r>
              <w:rPr>
                <w:spacing w:val="-2"/>
                <w:sz w:val="22"/>
              </w:rPr>
              <w:t>(39.7)</w:t>
            </w:r>
          </w:p>
        </w:tc>
        <w:tc>
          <w:tcPr>
            <w:tcW w:w="1303" w:type="dxa"/>
          </w:tcPr>
          <w:p>
            <w:pPr>
              <w:pStyle w:val="TableParagraph"/>
              <w:spacing w:before="34"/>
              <w:ind w:left="79" w:right="2"/>
              <w:rPr>
                <w:sz w:val="22"/>
              </w:rPr>
            </w:pPr>
            <w:r>
              <w:rPr>
                <w:spacing w:val="-10"/>
                <w:sz w:val="22"/>
              </w:rPr>
              <w:t>S</w:t>
            </w:r>
          </w:p>
        </w:tc>
      </w:tr>
      <w:tr>
        <w:trPr>
          <w:trHeight w:val="333" w:hRule="atLeast"/>
        </w:trPr>
        <w:tc>
          <w:tcPr>
            <w:tcW w:w="765" w:type="dxa"/>
          </w:tcPr>
          <w:p>
            <w:pPr>
              <w:pStyle w:val="TableParagraph"/>
              <w:ind w:left="89"/>
              <w:rPr>
                <w:sz w:val="22"/>
              </w:rPr>
            </w:pPr>
            <w:r>
              <w:rPr>
                <w:spacing w:val="-5"/>
                <w:sz w:val="22"/>
              </w:rPr>
              <w:t>35.</w:t>
            </w:r>
          </w:p>
        </w:tc>
        <w:tc>
          <w:tcPr>
            <w:tcW w:w="2480" w:type="dxa"/>
          </w:tcPr>
          <w:p>
            <w:pPr>
              <w:pStyle w:val="TableParagraph"/>
              <w:ind w:left="199"/>
              <w:jc w:val="left"/>
              <w:rPr>
                <w:sz w:val="22"/>
              </w:rPr>
            </w:pPr>
            <w:r>
              <w:rPr>
                <w:spacing w:val="-2"/>
                <w:sz w:val="22"/>
              </w:rPr>
              <w:t>JCS-</w:t>
            </w:r>
            <w:r>
              <w:rPr>
                <w:spacing w:val="-4"/>
                <w:sz w:val="22"/>
              </w:rPr>
              <w:t>1020</w:t>
            </w:r>
          </w:p>
        </w:tc>
        <w:tc>
          <w:tcPr>
            <w:tcW w:w="1790" w:type="dxa"/>
          </w:tcPr>
          <w:p>
            <w:pPr>
              <w:pStyle w:val="TableParagraph"/>
              <w:ind w:left="75" w:right="2"/>
              <w:rPr>
                <w:sz w:val="22"/>
              </w:rPr>
            </w:pPr>
            <w:r>
              <w:rPr>
                <w:spacing w:val="-5"/>
                <w:sz w:val="22"/>
              </w:rPr>
              <w:t>20</w:t>
            </w:r>
          </w:p>
        </w:tc>
        <w:tc>
          <w:tcPr>
            <w:tcW w:w="1655" w:type="dxa"/>
          </w:tcPr>
          <w:p>
            <w:pPr>
              <w:pStyle w:val="TableParagraph"/>
              <w:ind w:right="25"/>
              <w:rPr>
                <w:sz w:val="22"/>
              </w:rPr>
            </w:pPr>
            <w:r>
              <w:rPr>
                <w:spacing w:val="-5"/>
                <w:sz w:val="22"/>
              </w:rPr>
              <w:t>18</w:t>
            </w:r>
          </w:p>
        </w:tc>
        <w:tc>
          <w:tcPr>
            <w:tcW w:w="2098" w:type="dxa"/>
          </w:tcPr>
          <w:p>
            <w:pPr>
              <w:pStyle w:val="TableParagraph"/>
              <w:ind w:left="570"/>
              <w:jc w:val="left"/>
              <w:rPr>
                <w:sz w:val="22"/>
              </w:rPr>
            </w:pPr>
            <w:r>
              <w:rPr>
                <w:sz w:val="22"/>
              </w:rPr>
              <w:t>27.0 </w:t>
            </w:r>
            <w:r>
              <w:rPr>
                <w:spacing w:val="-2"/>
                <w:sz w:val="22"/>
              </w:rPr>
              <w:t>(34.0)</w:t>
            </w:r>
          </w:p>
        </w:tc>
        <w:tc>
          <w:tcPr>
            <w:tcW w:w="1303" w:type="dxa"/>
          </w:tcPr>
          <w:p>
            <w:pPr>
              <w:pStyle w:val="TableParagraph"/>
              <w:ind w:left="79" w:right="2"/>
              <w:rPr>
                <w:sz w:val="22"/>
              </w:rPr>
            </w:pPr>
            <w:r>
              <w:rPr>
                <w:spacing w:val="-5"/>
                <w:sz w:val="22"/>
              </w:rPr>
              <w:t>MS</w:t>
            </w:r>
          </w:p>
        </w:tc>
      </w:tr>
      <w:tr>
        <w:trPr>
          <w:trHeight w:val="333" w:hRule="atLeast"/>
        </w:trPr>
        <w:tc>
          <w:tcPr>
            <w:tcW w:w="765" w:type="dxa"/>
          </w:tcPr>
          <w:p>
            <w:pPr>
              <w:pStyle w:val="TableParagraph"/>
              <w:ind w:left="89"/>
              <w:rPr>
                <w:sz w:val="22"/>
              </w:rPr>
            </w:pPr>
            <w:r>
              <w:rPr>
                <w:spacing w:val="-5"/>
                <w:sz w:val="22"/>
              </w:rPr>
              <w:t>36.</w:t>
            </w:r>
          </w:p>
        </w:tc>
        <w:tc>
          <w:tcPr>
            <w:tcW w:w="2480" w:type="dxa"/>
          </w:tcPr>
          <w:p>
            <w:pPr>
              <w:pStyle w:val="TableParagraph"/>
              <w:ind w:left="199"/>
              <w:jc w:val="left"/>
              <w:rPr>
                <w:sz w:val="22"/>
              </w:rPr>
            </w:pPr>
            <w:r>
              <w:rPr>
                <w:spacing w:val="-2"/>
                <w:sz w:val="22"/>
              </w:rPr>
              <w:t>JCS-</w:t>
            </w:r>
            <w:r>
              <w:rPr>
                <w:spacing w:val="-4"/>
                <w:sz w:val="22"/>
              </w:rPr>
              <w:t>2454</w:t>
            </w:r>
          </w:p>
        </w:tc>
        <w:tc>
          <w:tcPr>
            <w:tcW w:w="1790" w:type="dxa"/>
          </w:tcPr>
          <w:p>
            <w:pPr>
              <w:pStyle w:val="TableParagraph"/>
              <w:ind w:left="75" w:right="2"/>
              <w:rPr>
                <w:sz w:val="22"/>
              </w:rPr>
            </w:pPr>
            <w:r>
              <w:rPr>
                <w:spacing w:val="-5"/>
                <w:sz w:val="22"/>
              </w:rPr>
              <w:t>31</w:t>
            </w:r>
          </w:p>
        </w:tc>
        <w:tc>
          <w:tcPr>
            <w:tcW w:w="1655" w:type="dxa"/>
          </w:tcPr>
          <w:p>
            <w:pPr>
              <w:pStyle w:val="TableParagraph"/>
              <w:ind w:right="25"/>
              <w:rPr>
                <w:sz w:val="22"/>
              </w:rPr>
            </w:pPr>
            <w:r>
              <w:rPr>
                <w:spacing w:val="-5"/>
                <w:sz w:val="22"/>
              </w:rPr>
              <w:t>31</w:t>
            </w:r>
          </w:p>
        </w:tc>
        <w:tc>
          <w:tcPr>
            <w:tcW w:w="2098" w:type="dxa"/>
          </w:tcPr>
          <w:p>
            <w:pPr>
              <w:pStyle w:val="TableParagraph"/>
              <w:ind w:left="570"/>
              <w:jc w:val="left"/>
              <w:rPr>
                <w:sz w:val="22"/>
              </w:rPr>
            </w:pPr>
            <w:r>
              <w:rPr>
                <w:sz w:val="22"/>
              </w:rPr>
              <w:t>33.5 </w:t>
            </w:r>
            <w:r>
              <w:rPr>
                <w:spacing w:val="-2"/>
                <w:sz w:val="22"/>
              </w:rPr>
              <w:t>(36.4)</w:t>
            </w:r>
          </w:p>
        </w:tc>
        <w:tc>
          <w:tcPr>
            <w:tcW w:w="1303" w:type="dxa"/>
          </w:tcPr>
          <w:p>
            <w:pPr>
              <w:pStyle w:val="TableParagraph"/>
              <w:ind w:left="79" w:right="2"/>
              <w:rPr>
                <w:sz w:val="22"/>
              </w:rPr>
            </w:pPr>
            <w:r>
              <w:rPr>
                <w:spacing w:val="-10"/>
                <w:sz w:val="22"/>
              </w:rPr>
              <w:t>S</w:t>
            </w:r>
          </w:p>
        </w:tc>
      </w:tr>
      <w:tr>
        <w:trPr>
          <w:trHeight w:val="332" w:hRule="atLeast"/>
        </w:trPr>
        <w:tc>
          <w:tcPr>
            <w:tcW w:w="765" w:type="dxa"/>
          </w:tcPr>
          <w:p>
            <w:pPr>
              <w:pStyle w:val="TableParagraph"/>
              <w:ind w:left="89"/>
              <w:rPr>
                <w:sz w:val="22"/>
              </w:rPr>
            </w:pPr>
            <w:r>
              <w:rPr>
                <w:spacing w:val="-5"/>
                <w:sz w:val="22"/>
              </w:rPr>
              <w:t>37.</w:t>
            </w:r>
          </w:p>
        </w:tc>
        <w:tc>
          <w:tcPr>
            <w:tcW w:w="2480" w:type="dxa"/>
          </w:tcPr>
          <w:p>
            <w:pPr>
              <w:pStyle w:val="TableParagraph"/>
              <w:ind w:left="199"/>
              <w:jc w:val="left"/>
              <w:rPr>
                <w:sz w:val="22"/>
              </w:rPr>
            </w:pPr>
            <w:r>
              <w:rPr>
                <w:spacing w:val="-2"/>
                <w:sz w:val="22"/>
              </w:rPr>
              <w:t>JCS-</w:t>
            </w:r>
            <w:r>
              <w:rPr>
                <w:spacing w:val="-4"/>
                <w:sz w:val="22"/>
              </w:rPr>
              <w:t>3593</w:t>
            </w:r>
          </w:p>
        </w:tc>
        <w:tc>
          <w:tcPr>
            <w:tcW w:w="1790" w:type="dxa"/>
          </w:tcPr>
          <w:p>
            <w:pPr>
              <w:pStyle w:val="TableParagraph"/>
              <w:ind w:left="75" w:right="2"/>
              <w:rPr>
                <w:sz w:val="22"/>
              </w:rPr>
            </w:pPr>
            <w:r>
              <w:rPr>
                <w:spacing w:val="-5"/>
                <w:sz w:val="22"/>
              </w:rPr>
              <w:t>35</w:t>
            </w:r>
          </w:p>
        </w:tc>
        <w:tc>
          <w:tcPr>
            <w:tcW w:w="1655" w:type="dxa"/>
          </w:tcPr>
          <w:p>
            <w:pPr>
              <w:pStyle w:val="TableParagraph"/>
              <w:ind w:right="25"/>
              <w:rPr>
                <w:sz w:val="22"/>
              </w:rPr>
            </w:pPr>
            <w:r>
              <w:rPr>
                <w:spacing w:val="-5"/>
                <w:sz w:val="22"/>
              </w:rPr>
              <w:t>35</w:t>
            </w:r>
          </w:p>
        </w:tc>
        <w:tc>
          <w:tcPr>
            <w:tcW w:w="2098" w:type="dxa"/>
          </w:tcPr>
          <w:p>
            <w:pPr>
              <w:pStyle w:val="TableParagraph"/>
              <w:ind w:left="570"/>
              <w:jc w:val="left"/>
              <w:rPr>
                <w:sz w:val="22"/>
              </w:rPr>
            </w:pPr>
            <w:r>
              <w:rPr>
                <w:sz w:val="22"/>
              </w:rPr>
              <w:t>24.9 </w:t>
            </w:r>
            <w:r>
              <w:rPr>
                <w:spacing w:val="-2"/>
                <w:sz w:val="22"/>
              </w:rPr>
              <w:t>(32.9)</w:t>
            </w:r>
          </w:p>
        </w:tc>
        <w:tc>
          <w:tcPr>
            <w:tcW w:w="1303" w:type="dxa"/>
          </w:tcPr>
          <w:p>
            <w:pPr>
              <w:pStyle w:val="TableParagraph"/>
              <w:ind w:left="79" w:right="2"/>
              <w:rPr>
                <w:sz w:val="22"/>
              </w:rPr>
            </w:pPr>
            <w:r>
              <w:rPr>
                <w:spacing w:val="-5"/>
                <w:sz w:val="22"/>
              </w:rPr>
              <w:t>MS</w:t>
            </w:r>
          </w:p>
        </w:tc>
      </w:tr>
      <w:tr>
        <w:trPr>
          <w:trHeight w:val="332" w:hRule="atLeast"/>
        </w:trPr>
        <w:tc>
          <w:tcPr>
            <w:tcW w:w="765" w:type="dxa"/>
          </w:tcPr>
          <w:p>
            <w:pPr>
              <w:pStyle w:val="TableParagraph"/>
              <w:spacing w:before="34"/>
              <w:ind w:left="89"/>
              <w:rPr>
                <w:sz w:val="22"/>
              </w:rPr>
            </w:pPr>
            <w:r>
              <w:rPr>
                <w:spacing w:val="-5"/>
                <w:sz w:val="22"/>
              </w:rPr>
              <w:t>38.</w:t>
            </w:r>
          </w:p>
        </w:tc>
        <w:tc>
          <w:tcPr>
            <w:tcW w:w="2480" w:type="dxa"/>
          </w:tcPr>
          <w:p>
            <w:pPr>
              <w:pStyle w:val="TableParagraph"/>
              <w:spacing w:before="34"/>
              <w:ind w:left="199"/>
              <w:jc w:val="left"/>
              <w:rPr>
                <w:sz w:val="22"/>
              </w:rPr>
            </w:pPr>
            <w:r>
              <w:rPr>
                <w:spacing w:val="-2"/>
                <w:sz w:val="22"/>
              </w:rPr>
              <w:t>IC-204159</w:t>
            </w:r>
          </w:p>
        </w:tc>
        <w:tc>
          <w:tcPr>
            <w:tcW w:w="1790" w:type="dxa"/>
          </w:tcPr>
          <w:p>
            <w:pPr>
              <w:pStyle w:val="TableParagraph"/>
              <w:spacing w:before="34"/>
              <w:ind w:left="75" w:right="2"/>
              <w:rPr>
                <w:sz w:val="22"/>
              </w:rPr>
            </w:pPr>
            <w:r>
              <w:rPr>
                <w:spacing w:val="-5"/>
                <w:sz w:val="22"/>
              </w:rPr>
              <w:t>41</w:t>
            </w:r>
          </w:p>
        </w:tc>
        <w:tc>
          <w:tcPr>
            <w:tcW w:w="1655" w:type="dxa"/>
          </w:tcPr>
          <w:p>
            <w:pPr>
              <w:pStyle w:val="TableParagraph"/>
              <w:spacing w:before="34"/>
              <w:ind w:right="25"/>
              <w:rPr>
                <w:sz w:val="22"/>
              </w:rPr>
            </w:pPr>
            <w:r>
              <w:rPr>
                <w:spacing w:val="-5"/>
                <w:sz w:val="22"/>
              </w:rPr>
              <w:t>41</w:t>
            </w:r>
          </w:p>
        </w:tc>
        <w:tc>
          <w:tcPr>
            <w:tcW w:w="2098" w:type="dxa"/>
          </w:tcPr>
          <w:p>
            <w:pPr>
              <w:pStyle w:val="TableParagraph"/>
              <w:spacing w:before="34"/>
              <w:ind w:left="570"/>
              <w:jc w:val="left"/>
              <w:rPr>
                <w:sz w:val="22"/>
              </w:rPr>
            </w:pPr>
            <w:r>
              <w:rPr>
                <w:sz w:val="22"/>
              </w:rPr>
              <w:t>19.9 </w:t>
            </w:r>
            <w:r>
              <w:rPr>
                <w:spacing w:val="-2"/>
                <w:sz w:val="22"/>
              </w:rPr>
              <w:t>(30.6)</w:t>
            </w:r>
          </w:p>
        </w:tc>
        <w:tc>
          <w:tcPr>
            <w:tcW w:w="1303" w:type="dxa"/>
          </w:tcPr>
          <w:p>
            <w:pPr>
              <w:pStyle w:val="TableParagraph"/>
              <w:spacing w:before="34"/>
              <w:ind w:left="79" w:right="1"/>
              <w:rPr>
                <w:sz w:val="22"/>
              </w:rPr>
            </w:pPr>
            <w:r>
              <w:rPr>
                <w:spacing w:val="-5"/>
                <w:sz w:val="22"/>
              </w:rPr>
              <w:t>MR</w:t>
            </w:r>
          </w:p>
        </w:tc>
      </w:tr>
      <w:tr>
        <w:trPr>
          <w:trHeight w:val="333" w:hRule="atLeast"/>
        </w:trPr>
        <w:tc>
          <w:tcPr>
            <w:tcW w:w="765" w:type="dxa"/>
          </w:tcPr>
          <w:p>
            <w:pPr>
              <w:pStyle w:val="TableParagraph"/>
              <w:ind w:left="89"/>
              <w:rPr>
                <w:sz w:val="22"/>
              </w:rPr>
            </w:pPr>
            <w:r>
              <w:rPr>
                <w:spacing w:val="-5"/>
                <w:sz w:val="22"/>
              </w:rPr>
              <w:t>39.</w:t>
            </w:r>
          </w:p>
        </w:tc>
        <w:tc>
          <w:tcPr>
            <w:tcW w:w="2480" w:type="dxa"/>
          </w:tcPr>
          <w:p>
            <w:pPr>
              <w:pStyle w:val="TableParagraph"/>
              <w:ind w:left="199"/>
              <w:jc w:val="left"/>
              <w:rPr>
                <w:sz w:val="22"/>
              </w:rPr>
            </w:pPr>
            <w:r>
              <w:rPr>
                <w:spacing w:val="-2"/>
                <w:sz w:val="22"/>
              </w:rPr>
              <w:t>IC-204830</w:t>
            </w:r>
          </w:p>
        </w:tc>
        <w:tc>
          <w:tcPr>
            <w:tcW w:w="1790" w:type="dxa"/>
          </w:tcPr>
          <w:p>
            <w:pPr>
              <w:pStyle w:val="TableParagraph"/>
              <w:ind w:left="75" w:right="2"/>
              <w:rPr>
                <w:sz w:val="22"/>
              </w:rPr>
            </w:pPr>
            <w:r>
              <w:rPr>
                <w:spacing w:val="-5"/>
                <w:sz w:val="22"/>
              </w:rPr>
              <w:t>45</w:t>
            </w:r>
          </w:p>
        </w:tc>
        <w:tc>
          <w:tcPr>
            <w:tcW w:w="1655" w:type="dxa"/>
          </w:tcPr>
          <w:p>
            <w:pPr>
              <w:pStyle w:val="TableParagraph"/>
              <w:ind w:right="25"/>
              <w:rPr>
                <w:sz w:val="22"/>
              </w:rPr>
            </w:pPr>
            <w:r>
              <w:rPr>
                <w:spacing w:val="-5"/>
                <w:sz w:val="22"/>
              </w:rPr>
              <w:t>43</w:t>
            </w:r>
          </w:p>
        </w:tc>
        <w:tc>
          <w:tcPr>
            <w:tcW w:w="2098" w:type="dxa"/>
          </w:tcPr>
          <w:p>
            <w:pPr>
              <w:pStyle w:val="TableParagraph"/>
              <w:ind w:left="570"/>
              <w:jc w:val="left"/>
              <w:rPr>
                <w:sz w:val="22"/>
              </w:rPr>
            </w:pPr>
            <w:r>
              <w:rPr>
                <w:sz w:val="22"/>
              </w:rPr>
              <w:t>27.9 </w:t>
            </w:r>
            <w:r>
              <w:rPr>
                <w:spacing w:val="-2"/>
                <w:sz w:val="22"/>
              </w:rPr>
              <w:t>(34.4)</w:t>
            </w:r>
          </w:p>
        </w:tc>
        <w:tc>
          <w:tcPr>
            <w:tcW w:w="1303" w:type="dxa"/>
          </w:tcPr>
          <w:p>
            <w:pPr>
              <w:pStyle w:val="TableParagraph"/>
              <w:ind w:left="79" w:right="2"/>
              <w:rPr>
                <w:sz w:val="22"/>
              </w:rPr>
            </w:pPr>
            <w:r>
              <w:rPr>
                <w:spacing w:val="-5"/>
                <w:sz w:val="22"/>
              </w:rPr>
              <w:t>MS</w:t>
            </w:r>
          </w:p>
        </w:tc>
      </w:tr>
      <w:tr>
        <w:trPr>
          <w:trHeight w:val="332" w:hRule="atLeast"/>
        </w:trPr>
        <w:tc>
          <w:tcPr>
            <w:tcW w:w="765" w:type="dxa"/>
          </w:tcPr>
          <w:p>
            <w:pPr>
              <w:pStyle w:val="TableParagraph"/>
              <w:ind w:left="89"/>
              <w:rPr>
                <w:sz w:val="22"/>
              </w:rPr>
            </w:pPr>
            <w:r>
              <w:rPr>
                <w:spacing w:val="-5"/>
                <w:sz w:val="22"/>
              </w:rPr>
              <w:t>40.</w:t>
            </w:r>
          </w:p>
        </w:tc>
        <w:tc>
          <w:tcPr>
            <w:tcW w:w="2480" w:type="dxa"/>
          </w:tcPr>
          <w:p>
            <w:pPr>
              <w:pStyle w:val="TableParagraph"/>
              <w:ind w:left="199"/>
              <w:jc w:val="left"/>
              <w:rPr>
                <w:sz w:val="22"/>
              </w:rPr>
            </w:pPr>
            <w:r>
              <w:rPr>
                <w:spacing w:val="-2"/>
                <w:sz w:val="22"/>
              </w:rPr>
              <w:t>IC-326984</w:t>
            </w:r>
          </w:p>
        </w:tc>
        <w:tc>
          <w:tcPr>
            <w:tcW w:w="1790" w:type="dxa"/>
          </w:tcPr>
          <w:p>
            <w:pPr>
              <w:pStyle w:val="TableParagraph"/>
              <w:ind w:left="75" w:right="2"/>
              <w:rPr>
                <w:sz w:val="22"/>
              </w:rPr>
            </w:pPr>
            <w:r>
              <w:rPr>
                <w:spacing w:val="-5"/>
                <w:sz w:val="22"/>
              </w:rPr>
              <w:t>30</w:t>
            </w:r>
          </w:p>
        </w:tc>
        <w:tc>
          <w:tcPr>
            <w:tcW w:w="1655" w:type="dxa"/>
          </w:tcPr>
          <w:p>
            <w:pPr>
              <w:pStyle w:val="TableParagraph"/>
              <w:ind w:right="25"/>
              <w:rPr>
                <w:sz w:val="22"/>
              </w:rPr>
            </w:pPr>
            <w:r>
              <w:rPr>
                <w:spacing w:val="-5"/>
                <w:sz w:val="22"/>
              </w:rPr>
              <w:t>28</w:t>
            </w:r>
          </w:p>
        </w:tc>
        <w:tc>
          <w:tcPr>
            <w:tcW w:w="2098" w:type="dxa"/>
          </w:tcPr>
          <w:p>
            <w:pPr>
              <w:pStyle w:val="TableParagraph"/>
              <w:ind w:left="570"/>
              <w:jc w:val="left"/>
              <w:rPr>
                <w:sz w:val="22"/>
              </w:rPr>
            </w:pPr>
            <w:r>
              <w:rPr>
                <w:sz w:val="22"/>
              </w:rPr>
              <w:t>16.2 </w:t>
            </w:r>
            <w:r>
              <w:rPr>
                <w:spacing w:val="-2"/>
                <w:sz w:val="22"/>
              </w:rPr>
              <w:t>(28.7)</w:t>
            </w:r>
          </w:p>
        </w:tc>
        <w:tc>
          <w:tcPr>
            <w:tcW w:w="1303" w:type="dxa"/>
          </w:tcPr>
          <w:p>
            <w:pPr>
              <w:pStyle w:val="TableParagraph"/>
              <w:ind w:left="79" w:right="1"/>
              <w:rPr>
                <w:sz w:val="22"/>
              </w:rPr>
            </w:pPr>
            <w:r>
              <w:rPr>
                <w:spacing w:val="-5"/>
                <w:sz w:val="22"/>
              </w:rPr>
              <w:t>MR</w:t>
            </w:r>
          </w:p>
        </w:tc>
      </w:tr>
      <w:tr>
        <w:trPr>
          <w:trHeight w:val="332" w:hRule="atLeast"/>
        </w:trPr>
        <w:tc>
          <w:tcPr>
            <w:tcW w:w="765" w:type="dxa"/>
          </w:tcPr>
          <w:p>
            <w:pPr>
              <w:pStyle w:val="TableParagraph"/>
              <w:spacing w:before="34"/>
              <w:ind w:left="89"/>
              <w:rPr>
                <w:sz w:val="22"/>
              </w:rPr>
            </w:pPr>
            <w:r>
              <w:rPr>
                <w:spacing w:val="-5"/>
                <w:sz w:val="22"/>
              </w:rPr>
              <w:t>41.</w:t>
            </w:r>
          </w:p>
        </w:tc>
        <w:tc>
          <w:tcPr>
            <w:tcW w:w="2480" w:type="dxa"/>
          </w:tcPr>
          <w:p>
            <w:pPr>
              <w:pStyle w:val="TableParagraph"/>
              <w:spacing w:before="34"/>
              <w:ind w:left="199"/>
              <w:jc w:val="left"/>
              <w:rPr>
                <w:sz w:val="22"/>
              </w:rPr>
            </w:pPr>
            <w:r>
              <w:rPr>
                <w:spacing w:val="-2"/>
                <w:sz w:val="22"/>
              </w:rPr>
              <w:t>IC-326984</w:t>
            </w:r>
          </w:p>
        </w:tc>
        <w:tc>
          <w:tcPr>
            <w:tcW w:w="1790" w:type="dxa"/>
          </w:tcPr>
          <w:p>
            <w:pPr>
              <w:pStyle w:val="TableParagraph"/>
              <w:spacing w:before="34"/>
              <w:ind w:left="75" w:right="2"/>
              <w:rPr>
                <w:sz w:val="22"/>
              </w:rPr>
            </w:pPr>
            <w:r>
              <w:rPr>
                <w:spacing w:val="-5"/>
                <w:sz w:val="22"/>
              </w:rPr>
              <w:t>49</w:t>
            </w:r>
          </w:p>
        </w:tc>
        <w:tc>
          <w:tcPr>
            <w:tcW w:w="1655" w:type="dxa"/>
          </w:tcPr>
          <w:p>
            <w:pPr>
              <w:pStyle w:val="TableParagraph"/>
              <w:spacing w:before="34"/>
              <w:ind w:right="25"/>
              <w:rPr>
                <w:sz w:val="22"/>
              </w:rPr>
            </w:pPr>
            <w:r>
              <w:rPr>
                <w:spacing w:val="-5"/>
                <w:sz w:val="22"/>
              </w:rPr>
              <w:t>47</w:t>
            </w:r>
          </w:p>
        </w:tc>
        <w:tc>
          <w:tcPr>
            <w:tcW w:w="2098" w:type="dxa"/>
          </w:tcPr>
          <w:p>
            <w:pPr>
              <w:pStyle w:val="TableParagraph"/>
              <w:spacing w:before="34"/>
              <w:ind w:left="570"/>
              <w:jc w:val="left"/>
              <w:rPr>
                <w:sz w:val="22"/>
              </w:rPr>
            </w:pPr>
            <w:r>
              <w:rPr>
                <w:sz w:val="22"/>
              </w:rPr>
              <w:t>27.4 </w:t>
            </w:r>
            <w:r>
              <w:rPr>
                <w:spacing w:val="-2"/>
                <w:sz w:val="22"/>
              </w:rPr>
              <w:t>(33.3)</w:t>
            </w:r>
          </w:p>
        </w:tc>
        <w:tc>
          <w:tcPr>
            <w:tcW w:w="1303" w:type="dxa"/>
          </w:tcPr>
          <w:p>
            <w:pPr>
              <w:pStyle w:val="TableParagraph"/>
              <w:spacing w:before="34"/>
              <w:ind w:left="79" w:right="2"/>
              <w:rPr>
                <w:sz w:val="22"/>
              </w:rPr>
            </w:pPr>
            <w:r>
              <w:rPr>
                <w:spacing w:val="-5"/>
                <w:sz w:val="22"/>
              </w:rPr>
              <w:t>MS</w:t>
            </w:r>
          </w:p>
        </w:tc>
      </w:tr>
      <w:tr>
        <w:trPr>
          <w:trHeight w:val="333" w:hRule="atLeast"/>
        </w:trPr>
        <w:tc>
          <w:tcPr>
            <w:tcW w:w="765" w:type="dxa"/>
          </w:tcPr>
          <w:p>
            <w:pPr>
              <w:pStyle w:val="TableParagraph"/>
              <w:ind w:left="89"/>
              <w:rPr>
                <w:sz w:val="22"/>
              </w:rPr>
            </w:pPr>
            <w:r>
              <w:rPr>
                <w:spacing w:val="-5"/>
                <w:sz w:val="22"/>
              </w:rPr>
              <w:t>42.</w:t>
            </w:r>
          </w:p>
        </w:tc>
        <w:tc>
          <w:tcPr>
            <w:tcW w:w="2480" w:type="dxa"/>
          </w:tcPr>
          <w:p>
            <w:pPr>
              <w:pStyle w:val="TableParagraph"/>
              <w:ind w:left="199"/>
              <w:jc w:val="left"/>
              <w:rPr>
                <w:sz w:val="22"/>
              </w:rPr>
            </w:pPr>
            <w:r>
              <w:rPr>
                <w:spacing w:val="-2"/>
                <w:sz w:val="22"/>
              </w:rPr>
              <w:t>IIOS-</w:t>
            </w:r>
            <w:r>
              <w:rPr>
                <w:spacing w:val="-4"/>
                <w:sz w:val="22"/>
              </w:rPr>
              <w:t>3101</w:t>
            </w:r>
          </w:p>
        </w:tc>
        <w:tc>
          <w:tcPr>
            <w:tcW w:w="1790" w:type="dxa"/>
          </w:tcPr>
          <w:p>
            <w:pPr>
              <w:pStyle w:val="TableParagraph"/>
              <w:ind w:left="75" w:right="2"/>
              <w:rPr>
                <w:sz w:val="22"/>
              </w:rPr>
            </w:pPr>
            <w:r>
              <w:rPr>
                <w:spacing w:val="-5"/>
                <w:sz w:val="22"/>
              </w:rPr>
              <w:t>38</w:t>
            </w:r>
          </w:p>
        </w:tc>
        <w:tc>
          <w:tcPr>
            <w:tcW w:w="1655" w:type="dxa"/>
          </w:tcPr>
          <w:p>
            <w:pPr>
              <w:pStyle w:val="TableParagraph"/>
              <w:ind w:right="25"/>
              <w:rPr>
                <w:sz w:val="22"/>
              </w:rPr>
            </w:pPr>
            <w:r>
              <w:rPr>
                <w:spacing w:val="-5"/>
                <w:sz w:val="22"/>
              </w:rPr>
              <w:t>38</w:t>
            </w:r>
          </w:p>
        </w:tc>
        <w:tc>
          <w:tcPr>
            <w:tcW w:w="2098" w:type="dxa"/>
          </w:tcPr>
          <w:p>
            <w:pPr>
              <w:pStyle w:val="TableParagraph"/>
              <w:ind w:left="570"/>
              <w:jc w:val="left"/>
              <w:rPr>
                <w:sz w:val="22"/>
              </w:rPr>
            </w:pPr>
            <w:r>
              <w:rPr>
                <w:sz w:val="22"/>
              </w:rPr>
              <w:t>13.4 </w:t>
            </w:r>
            <w:r>
              <w:rPr>
                <w:spacing w:val="-2"/>
                <w:sz w:val="22"/>
              </w:rPr>
              <w:t>(27.4)</w:t>
            </w:r>
          </w:p>
        </w:tc>
        <w:tc>
          <w:tcPr>
            <w:tcW w:w="1303" w:type="dxa"/>
          </w:tcPr>
          <w:p>
            <w:pPr>
              <w:pStyle w:val="TableParagraph"/>
              <w:ind w:left="79" w:right="1"/>
              <w:rPr>
                <w:sz w:val="22"/>
              </w:rPr>
            </w:pPr>
            <w:r>
              <w:rPr>
                <w:spacing w:val="-5"/>
                <w:sz w:val="22"/>
              </w:rPr>
              <w:t>MR</w:t>
            </w:r>
          </w:p>
        </w:tc>
      </w:tr>
      <w:tr>
        <w:trPr>
          <w:trHeight w:val="333" w:hRule="atLeast"/>
        </w:trPr>
        <w:tc>
          <w:tcPr>
            <w:tcW w:w="765" w:type="dxa"/>
          </w:tcPr>
          <w:p>
            <w:pPr>
              <w:pStyle w:val="TableParagraph"/>
              <w:ind w:left="89"/>
              <w:rPr>
                <w:sz w:val="22"/>
              </w:rPr>
            </w:pPr>
            <w:r>
              <w:rPr>
                <w:spacing w:val="-5"/>
                <w:sz w:val="22"/>
              </w:rPr>
              <w:t>43.</w:t>
            </w:r>
          </w:p>
        </w:tc>
        <w:tc>
          <w:tcPr>
            <w:tcW w:w="2480" w:type="dxa"/>
          </w:tcPr>
          <w:p>
            <w:pPr>
              <w:pStyle w:val="TableParagraph"/>
              <w:ind w:left="199"/>
              <w:jc w:val="left"/>
              <w:rPr>
                <w:sz w:val="22"/>
              </w:rPr>
            </w:pPr>
            <w:r>
              <w:rPr>
                <w:spacing w:val="-2"/>
                <w:sz w:val="22"/>
              </w:rPr>
              <w:t>RT-</w:t>
            </w:r>
            <w:r>
              <w:rPr>
                <w:spacing w:val="-5"/>
                <w:sz w:val="22"/>
              </w:rPr>
              <w:t>54</w:t>
            </w:r>
          </w:p>
        </w:tc>
        <w:tc>
          <w:tcPr>
            <w:tcW w:w="1790" w:type="dxa"/>
          </w:tcPr>
          <w:p>
            <w:pPr>
              <w:pStyle w:val="TableParagraph"/>
              <w:ind w:left="75" w:right="2"/>
              <w:rPr>
                <w:sz w:val="22"/>
              </w:rPr>
            </w:pPr>
            <w:r>
              <w:rPr>
                <w:spacing w:val="-5"/>
                <w:sz w:val="22"/>
              </w:rPr>
              <w:t>34</w:t>
            </w:r>
          </w:p>
        </w:tc>
        <w:tc>
          <w:tcPr>
            <w:tcW w:w="1655" w:type="dxa"/>
          </w:tcPr>
          <w:p>
            <w:pPr>
              <w:pStyle w:val="TableParagraph"/>
              <w:ind w:right="25"/>
              <w:rPr>
                <w:sz w:val="22"/>
              </w:rPr>
            </w:pPr>
            <w:r>
              <w:rPr>
                <w:spacing w:val="-5"/>
                <w:sz w:val="22"/>
              </w:rPr>
              <w:t>33</w:t>
            </w:r>
          </w:p>
        </w:tc>
        <w:tc>
          <w:tcPr>
            <w:tcW w:w="2098" w:type="dxa"/>
          </w:tcPr>
          <w:p>
            <w:pPr>
              <w:pStyle w:val="TableParagraph"/>
              <w:ind w:left="570"/>
              <w:jc w:val="left"/>
              <w:rPr>
                <w:sz w:val="22"/>
              </w:rPr>
            </w:pPr>
            <w:r>
              <w:rPr>
                <w:sz w:val="22"/>
              </w:rPr>
              <w:t>29.5 </w:t>
            </w:r>
            <w:r>
              <w:rPr>
                <w:spacing w:val="-2"/>
                <w:sz w:val="22"/>
              </w:rPr>
              <w:t>(34.3)</w:t>
            </w:r>
          </w:p>
        </w:tc>
        <w:tc>
          <w:tcPr>
            <w:tcW w:w="1303" w:type="dxa"/>
          </w:tcPr>
          <w:p>
            <w:pPr>
              <w:pStyle w:val="TableParagraph"/>
              <w:ind w:left="79" w:right="2"/>
              <w:rPr>
                <w:sz w:val="22"/>
              </w:rPr>
            </w:pPr>
            <w:r>
              <w:rPr>
                <w:spacing w:val="-5"/>
                <w:sz w:val="22"/>
              </w:rPr>
              <w:t>MS</w:t>
            </w:r>
          </w:p>
        </w:tc>
      </w:tr>
      <w:tr>
        <w:trPr>
          <w:trHeight w:val="332" w:hRule="atLeast"/>
        </w:trPr>
        <w:tc>
          <w:tcPr>
            <w:tcW w:w="765" w:type="dxa"/>
          </w:tcPr>
          <w:p>
            <w:pPr>
              <w:pStyle w:val="TableParagraph"/>
              <w:ind w:left="89"/>
              <w:rPr>
                <w:sz w:val="22"/>
              </w:rPr>
            </w:pPr>
            <w:r>
              <w:rPr>
                <w:spacing w:val="-5"/>
                <w:sz w:val="22"/>
              </w:rPr>
              <w:t>44.</w:t>
            </w:r>
          </w:p>
        </w:tc>
        <w:tc>
          <w:tcPr>
            <w:tcW w:w="2480" w:type="dxa"/>
          </w:tcPr>
          <w:p>
            <w:pPr>
              <w:pStyle w:val="TableParagraph"/>
              <w:ind w:left="199"/>
              <w:jc w:val="left"/>
              <w:rPr>
                <w:sz w:val="22"/>
              </w:rPr>
            </w:pPr>
            <w:r>
              <w:rPr>
                <w:spacing w:val="-2"/>
                <w:sz w:val="22"/>
              </w:rPr>
              <w:t>RT-</w:t>
            </w:r>
            <w:r>
              <w:rPr>
                <w:spacing w:val="-5"/>
                <w:sz w:val="22"/>
              </w:rPr>
              <w:t>68</w:t>
            </w:r>
          </w:p>
        </w:tc>
        <w:tc>
          <w:tcPr>
            <w:tcW w:w="1790" w:type="dxa"/>
          </w:tcPr>
          <w:p>
            <w:pPr>
              <w:pStyle w:val="TableParagraph"/>
              <w:ind w:left="75" w:right="2"/>
              <w:rPr>
                <w:sz w:val="22"/>
              </w:rPr>
            </w:pPr>
            <w:r>
              <w:rPr>
                <w:spacing w:val="-5"/>
                <w:sz w:val="22"/>
              </w:rPr>
              <w:t>20</w:t>
            </w:r>
          </w:p>
        </w:tc>
        <w:tc>
          <w:tcPr>
            <w:tcW w:w="1655" w:type="dxa"/>
          </w:tcPr>
          <w:p>
            <w:pPr>
              <w:pStyle w:val="TableParagraph"/>
              <w:ind w:right="25"/>
              <w:rPr>
                <w:sz w:val="22"/>
              </w:rPr>
            </w:pPr>
            <w:r>
              <w:rPr>
                <w:spacing w:val="-5"/>
                <w:sz w:val="22"/>
              </w:rPr>
              <w:t>18</w:t>
            </w:r>
          </w:p>
        </w:tc>
        <w:tc>
          <w:tcPr>
            <w:tcW w:w="2098" w:type="dxa"/>
          </w:tcPr>
          <w:p>
            <w:pPr>
              <w:pStyle w:val="TableParagraph"/>
              <w:ind w:left="570"/>
              <w:jc w:val="left"/>
              <w:rPr>
                <w:sz w:val="22"/>
              </w:rPr>
            </w:pPr>
            <w:r>
              <w:rPr>
                <w:sz w:val="22"/>
              </w:rPr>
              <w:t>31.0 </w:t>
            </w:r>
            <w:r>
              <w:rPr>
                <w:spacing w:val="-2"/>
                <w:sz w:val="22"/>
              </w:rPr>
              <w:t>(35.1)</w:t>
            </w:r>
          </w:p>
        </w:tc>
        <w:tc>
          <w:tcPr>
            <w:tcW w:w="1303" w:type="dxa"/>
          </w:tcPr>
          <w:p>
            <w:pPr>
              <w:pStyle w:val="TableParagraph"/>
              <w:ind w:left="79" w:right="2"/>
              <w:rPr>
                <w:sz w:val="22"/>
              </w:rPr>
            </w:pPr>
            <w:r>
              <w:rPr>
                <w:spacing w:val="-10"/>
                <w:sz w:val="22"/>
              </w:rPr>
              <w:t>S</w:t>
            </w:r>
          </w:p>
        </w:tc>
      </w:tr>
      <w:tr>
        <w:trPr>
          <w:trHeight w:val="332" w:hRule="atLeast"/>
        </w:trPr>
        <w:tc>
          <w:tcPr>
            <w:tcW w:w="765" w:type="dxa"/>
          </w:tcPr>
          <w:p>
            <w:pPr>
              <w:pStyle w:val="TableParagraph"/>
              <w:spacing w:before="34"/>
              <w:ind w:left="89"/>
              <w:rPr>
                <w:sz w:val="22"/>
              </w:rPr>
            </w:pPr>
            <w:r>
              <w:rPr>
                <w:spacing w:val="-5"/>
                <w:sz w:val="22"/>
              </w:rPr>
              <w:t>45.</w:t>
            </w:r>
          </w:p>
        </w:tc>
        <w:tc>
          <w:tcPr>
            <w:tcW w:w="2480" w:type="dxa"/>
          </w:tcPr>
          <w:p>
            <w:pPr>
              <w:pStyle w:val="TableParagraph"/>
              <w:spacing w:before="34"/>
              <w:ind w:left="199"/>
              <w:jc w:val="left"/>
              <w:rPr>
                <w:sz w:val="22"/>
              </w:rPr>
            </w:pPr>
            <w:r>
              <w:rPr>
                <w:spacing w:val="-2"/>
                <w:sz w:val="22"/>
              </w:rPr>
              <w:t>RT-</w:t>
            </w:r>
            <w:r>
              <w:rPr>
                <w:spacing w:val="-5"/>
                <w:sz w:val="22"/>
              </w:rPr>
              <w:t>204</w:t>
            </w:r>
          </w:p>
        </w:tc>
        <w:tc>
          <w:tcPr>
            <w:tcW w:w="1790" w:type="dxa"/>
          </w:tcPr>
          <w:p>
            <w:pPr>
              <w:pStyle w:val="TableParagraph"/>
              <w:spacing w:before="34"/>
              <w:ind w:left="75" w:right="2"/>
              <w:rPr>
                <w:sz w:val="22"/>
              </w:rPr>
            </w:pPr>
            <w:r>
              <w:rPr>
                <w:spacing w:val="-5"/>
                <w:sz w:val="22"/>
              </w:rPr>
              <w:t>28</w:t>
            </w:r>
          </w:p>
        </w:tc>
        <w:tc>
          <w:tcPr>
            <w:tcW w:w="1655" w:type="dxa"/>
          </w:tcPr>
          <w:p>
            <w:pPr>
              <w:pStyle w:val="TableParagraph"/>
              <w:spacing w:before="34"/>
              <w:ind w:right="25"/>
              <w:rPr>
                <w:sz w:val="22"/>
              </w:rPr>
            </w:pPr>
            <w:r>
              <w:rPr>
                <w:spacing w:val="-5"/>
                <w:sz w:val="22"/>
              </w:rPr>
              <w:t>21</w:t>
            </w:r>
          </w:p>
        </w:tc>
        <w:tc>
          <w:tcPr>
            <w:tcW w:w="2098" w:type="dxa"/>
          </w:tcPr>
          <w:p>
            <w:pPr>
              <w:pStyle w:val="TableParagraph"/>
              <w:spacing w:before="34"/>
              <w:ind w:left="570"/>
              <w:jc w:val="left"/>
              <w:rPr>
                <w:sz w:val="22"/>
              </w:rPr>
            </w:pPr>
            <w:r>
              <w:rPr>
                <w:sz w:val="22"/>
              </w:rPr>
              <w:t>26.4 </w:t>
            </w:r>
            <w:r>
              <w:rPr>
                <w:spacing w:val="-2"/>
                <w:sz w:val="22"/>
              </w:rPr>
              <w:t>(32.8)</w:t>
            </w:r>
          </w:p>
        </w:tc>
        <w:tc>
          <w:tcPr>
            <w:tcW w:w="1303" w:type="dxa"/>
          </w:tcPr>
          <w:p>
            <w:pPr>
              <w:pStyle w:val="TableParagraph"/>
              <w:spacing w:before="34"/>
              <w:ind w:left="79" w:right="2"/>
              <w:rPr>
                <w:sz w:val="22"/>
              </w:rPr>
            </w:pPr>
            <w:r>
              <w:rPr>
                <w:spacing w:val="-5"/>
                <w:sz w:val="22"/>
              </w:rPr>
              <w:t>MS</w:t>
            </w:r>
          </w:p>
        </w:tc>
      </w:tr>
      <w:tr>
        <w:trPr>
          <w:trHeight w:val="333" w:hRule="atLeast"/>
        </w:trPr>
        <w:tc>
          <w:tcPr>
            <w:tcW w:w="765" w:type="dxa"/>
          </w:tcPr>
          <w:p>
            <w:pPr>
              <w:pStyle w:val="TableParagraph"/>
              <w:ind w:left="89"/>
              <w:rPr>
                <w:sz w:val="22"/>
              </w:rPr>
            </w:pPr>
            <w:r>
              <w:rPr>
                <w:spacing w:val="-5"/>
                <w:sz w:val="22"/>
              </w:rPr>
              <w:t>46.</w:t>
            </w:r>
          </w:p>
        </w:tc>
        <w:tc>
          <w:tcPr>
            <w:tcW w:w="2480" w:type="dxa"/>
          </w:tcPr>
          <w:p>
            <w:pPr>
              <w:pStyle w:val="TableParagraph"/>
              <w:ind w:left="199"/>
              <w:jc w:val="left"/>
              <w:rPr>
                <w:sz w:val="22"/>
              </w:rPr>
            </w:pPr>
            <w:r>
              <w:rPr>
                <w:spacing w:val="-2"/>
                <w:sz w:val="22"/>
              </w:rPr>
              <w:t>SKL-</w:t>
            </w:r>
            <w:r>
              <w:rPr>
                <w:spacing w:val="-10"/>
                <w:sz w:val="22"/>
              </w:rPr>
              <w:t>2</w:t>
            </w:r>
          </w:p>
        </w:tc>
        <w:tc>
          <w:tcPr>
            <w:tcW w:w="1790" w:type="dxa"/>
          </w:tcPr>
          <w:p>
            <w:pPr>
              <w:pStyle w:val="TableParagraph"/>
              <w:ind w:left="75" w:right="2"/>
              <w:rPr>
                <w:sz w:val="22"/>
              </w:rPr>
            </w:pPr>
            <w:r>
              <w:rPr>
                <w:spacing w:val="-5"/>
                <w:sz w:val="22"/>
              </w:rPr>
              <w:t>28</w:t>
            </w:r>
          </w:p>
        </w:tc>
        <w:tc>
          <w:tcPr>
            <w:tcW w:w="1655" w:type="dxa"/>
          </w:tcPr>
          <w:p>
            <w:pPr>
              <w:pStyle w:val="TableParagraph"/>
              <w:ind w:right="25"/>
              <w:rPr>
                <w:sz w:val="22"/>
              </w:rPr>
            </w:pPr>
            <w:r>
              <w:rPr>
                <w:spacing w:val="-5"/>
                <w:sz w:val="22"/>
              </w:rPr>
              <w:t>26</w:t>
            </w:r>
          </w:p>
        </w:tc>
        <w:tc>
          <w:tcPr>
            <w:tcW w:w="2098" w:type="dxa"/>
          </w:tcPr>
          <w:p>
            <w:pPr>
              <w:pStyle w:val="TableParagraph"/>
              <w:ind w:left="570"/>
              <w:jc w:val="left"/>
              <w:rPr>
                <w:sz w:val="22"/>
              </w:rPr>
            </w:pPr>
            <w:r>
              <w:rPr>
                <w:sz w:val="22"/>
              </w:rPr>
              <w:t>44.2 </w:t>
            </w:r>
            <w:r>
              <w:rPr>
                <w:spacing w:val="-2"/>
                <w:sz w:val="22"/>
              </w:rPr>
              <w:t>(40.0)</w:t>
            </w:r>
          </w:p>
        </w:tc>
        <w:tc>
          <w:tcPr>
            <w:tcW w:w="1303" w:type="dxa"/>
          </w:tcPr>
          <w:p>
            <w:pPr>
              <w:pStyle w:val="TableParagraph"/>
              <w:ind w:left="79" w:right="2"/>
              <w:rPr>
                <w:sz w:val="22"/>
              </w:rPr>
            </w:pPr>
            <w:r>
              <w:rPr>
                <w:spacing w:val="-10"/>
                <w:sz w:val="22"/>
              </w:rPr>
              <w:t>S</w:t>
            </w:r>
          </w:p>
        </w:tc>
      </w:tr>
      <w:tr>
        <w:trPr>
          <w:trHeight w:val="333" w:hRule="atLeast"/>
        </w:trPr>
        <w:tc>
          <w:tcPr>
            <w:tcW w:w="765" w:type="dxa"/>
          </w:tcPr>
          <w:p>
            <w:pPr>
              <w:pStyle w:val="TableParagraph"/>
              <w:ind w:left="89"/>
              <w:rPr>
                <w:sz w:val="22"/>
              </w:rPr>
            </w:pPr>
            <w:r>
              <w:rPr>
                <w:spacing w:val="-5"/>
                <w:sz w:val="22"/>
              </w:rPr>
              <w:t>47.</w:t>
            </w:r>
          </w:p>
        </w:tc>
        <w:tc>
          <w:tcPr>
            <w:tcW w:w="2480" w:type="dxa"/>
          </w:tcPr>
          <w:p>
            <w:pPr>
              <w:pStyle w:val="TableParagraph"/>
              <w:ind w:left="199"/>
              <w:jc w:val="left"/>
              <w:rPr>
                <w:sz w:val="22"/>
              </w:rPr>
            </w:pPr>
            <w:r>
              <w:rPr>
                <w:spacing w:val="-2"/>
                <w:sz w:val="22"/>
              </w:rPr>
              <w:t>SKL-</w:t>
            </w:r>
            <w:r>
              <w:rPr>
                <w:spacing w:val="-10"/>
                <w:sz w:val="22"/>
              </w:rPr>
              <w:t>3</w:t>
            </w:r>
          </w:p>
        </w:tc>
        <w:tc>
          <w:tcPr>
            <w:tcW w:w="1790" w:type="dxa"/>
          </w:tcPr>
          <w:p>
            <w:pPr>
              <w:pStyle w:val="TableParagraph"/>
              <w:ind w:left="75" w:right="2"/>
              <w:rPr>
                <w:sz w:val="22"/>
              </w:rPr>
            </w:pPr>
            <w:r>
              <w:rPr>
                <w:spacing w:val="-5"/>
                <w:sz w:val="22"/>
              </w:rPr>
              <w:t>32</w:t>
            </w:r>
          </w:p>
        </w:tc>
        <w:tc>
          <w:tcPr>
            <w:tcW w:w="1655" w:type="dxa"/>
          </w:tcPr>
          <w:p>
            <w:pPr>
              <w:pStyle w:val="TableParagraph"/>
              <w:ind w:right="25"/>
              <w:rPr>
                <w:sz w:val="22"/>
              </w:rPr>
            </w:pPr>
            <w:r>
              <w:rPr>
                <w:spacing w:val="-5"/>
                <w:sz w:val="22"/>
              </w:rPr>
              <w:t>31</w:t>
            </w:r>
          </w:p>
        </w:tc>
        <w:tc>
          <w:tcPr>
            <w:tcW w:w="2098" w:type="dxa"/>
          </w:tcPr>
          <w:p>
            <w:pPr>
              <w:pStyle w:val="TableParagraph"/>
              <w:ind w:left="570"/>
              <w:jc w:val="left"/>
              <w:rPr>
                <w:sz w:val="22"/>
              </w:rPr>
            </w:pPr>
            <w:r>
              <w:rPr>
                <w:sz w:val="22"/>
              </w:rPr>
              <w:t>25.4 </w:t>
            </w:r>
            <w:r>
              <w:rPr>
                <w:spacing w:val="-2"/>
                <w:sz w:val="22"/>
              </w:rPr>
              <w:t>(33.2)</w:t>
            </w:r>
          </w:p>
        </w:tc>
        <w:tc>
          <w:tcPr>
            <w:tcW w:w="1303" w:type="dxa"/>
          </w:tcPr>
          <w:p>
            <w:pPr>
              <w:pStyle w:val="TableParagraph"/>
              <w:ind w:left="79" w:right="2"/>
              <w:rPr>
                <w:sz w:val="22"/>
              </w:rPr>
            </w:pPr>
            <w:r>
              <w:rPr>
                <w:spacing w:val="-5"/>
                <w:sz w:val="22"/>
              </w:rPr>
              <w:t>MS</w:t>
            </w:r>
          </w:p>
        </w:tc>
      </w:tr>
      <w:tr>
        <w:trPr>
          <w:trHeight w:val="332" w:hRule="atLeast"/>
        </w:trPr>
        <w:tc>
          <w:tcPr>
            <w:tcW w:w="765" w:type="dxa"/>
          </w:tcPr>
          <w:p>
            <w:pPr>
              <w:pStyle w:val="TableParagraph"/>
              <w:ind w:left="89"/>
              <w:rPr>
                <w:sz w:val="22"/>
              </w:rPr>
            </w:pPr>
            <w:r>
              <w:rPr>
                <w:spacing w:val="-5"/>
                <w:sz w:val="22"/>
              </w:rPr>
              <w:t>48.</w:t>
            </w:r>
          </w:p>
        </w:tc>
        <w:tc>
          <w:tcPr>
            <w:tcW w:w="2480" w:type="dxa"/>
          </w:tcPr>
          <w:p>
            <w:pPr>
              <w:pStyle w:val="TableParagraph"/>
              <w:ind w:left="199"/>
              <w:jc w:val="left"/>
              <w:rPr>
                <w:sz w:val="22"/>
              </w:rPr>
            </w:pPr>
            <w:r>
              <w:rPr>
                <w:spacing w:val="-2"/>
                <w:sz w:val="22"/>
              </w:rPr>
              <w:t>PCU-</w:t>
            </w:r>
            <w:r>
              <w:rPr>
                <w:spacing w:val="-5"/>
                <w:sz w:val="22"/>
              </w:rPr>
              <w:t>35</w:t>
            </w:r>
          </w:p>
        </w:tc>
        <w:tc>
          <w:tcPr>
            <w:tcW w:w="1790" w:type="dxa"/>
          </w:tcPr>
          <w:p>
            <w:pPr>
              <w:pStyle w:val="TableParagraph"/>
              <w:ind w:left="75" w:right="2"/>
              <w:rPr>
                <w:sz w:val="22"/>
              </w:rPr>
            </w:pPr>
            <w:r>
              <w:rPr>
                <w:spacing w:val="-5"/>
                <w:sz w:val="22"/>
              </w:rPr>
              <w:t>25</w:t>
            </w:r>
          </w:p>
        </w:tc>
        <w:tc>
          <w:tcPr>
            <w:tcW w:w="1655" w:type="dxa"/>
          </w:tcPr>
          <w:p>
            <w:pPr>
              <w:pStyle w:val="TableParagraph"/>
              <w:ind w:right="25"/>
              <w:rPr>
                <w:sz w:val="22"/>
              </w:rPr>
            </w:pPr>
            <w:r>
              <w:rPr>
                <w:spacing w:val="-5"/>
                <w:sz w:val="22"/>
              </w:rPr>
              <w:t>24</w:t>
            </w:r>
          </w:p>
        </w:tc>
        <w:tc>
          <w:tcPr>
            <w:tcW w:w="2098" w:type="dxa"/>
          </w:tcPr>
          <w:p>
            <w:pPr>
              <w:pStyle w:val="TableParagraph"/>
              <w:ind w:left="570"/>
              <w:jc w:val="left"/>
              <w:rPr>
                <w:sz w:val="22"/>
              </w:rPr>
            </w:pPr>
            <w:r>
              <w:rPr>
                <w:sz w:val="22"/>
              </w:rPr>
              <w:t>25.5 </w:t>
            </w:r>
            <w:r>
              <w:rPr>
                <w:spacing w:val="-2"/>
                <w:sz w:val="22"/>
              </w:rPr>
              <w:t>(33.3)</w:t>
            </w:r>
          </w:p>
        </w:tc>
        <w:tc>
          <w:tcPr>
            <w:tcW w:w="1303" w:type="dxa"/>
          </w:tcPr>
          <w:p>
            <w:pPr>
              <w:pStyle w:val="TableParagraph"/>
              <w:ind w:left="79" w:right="2"/>
              <w:rPr>
                <w:sz w:val="22"/>
              </w:rPr>
            </w:pPr>
            <w:r>
              <w:rPr>
                <w:spacing w:val="-5"/>
                <w:sz w:val="22"/>
              </w:rPr>
              <w:t>MS</w:t>
            </w:r>
          </w:p>
        </w:tc>
      </w:tr>
      <w:tr>
        <w:trPr>
          <w:trHeight w:val="332" w:hRule="atLeast"/>
        </w:trPr>
        <w:tc>
          <w:tcPr>
            <w:tcW w:w="765" w:type="dxa"/>
          </w:tcPr>
          <w:p>
            <w:pPr>
              <w:pStyle w:val="TableParagraph"/>
              <w:spacing w:before="34"/>
              <w:ind w:left="89"/>
              <w:rPr>
                <w:sz w:val="22"/>
              </w:rPr>
            </w:pPr>
            <w:r>
              <w:rPr>
                <w:spacing w:val="-5"/>
                <w:sz w:val="22"/>
              </w:rPr>
              <w:t>49.</w:t>
            </w:r>
          </w:p>
        </w:tc>
        <w:tc>
          <w:tcPr>
            <w:tcW w:w="2480" w:type="dxa"/>
          </w:tcPr>
          <w:p>
            <w:pPr>
              <w:pStyle w:val="TableParagraph"/>
              <w:spacing w:before="34"/>
              <w:ind w:left="199"/>
              <w:jc w:val="left"/>
              <w:rPr>
                <w:sz w:val="22"/>
              </w:rPr>
            </w:pPr>
            <w:r>
              <w:rPr>
                <w:spacing w:val="-2"/>
                <w:sz w:val="22"/>
              </w:rPr>
              <w:t>PCU-</w:t>
            </w:r>
            <w:r>
              <w:rPr>
                <w:spacing w:val="-5"/>
                <w:sz w:val="22"/>
              </w:rPr>
              <w:t>39</w:t>
            </w:r>
          </w:p>
        </w:tc>
        <w:tc>
          <w:tcPr>
            <w:tcW w:w="1790" w:type="dxa"/>
          </w:tcPr>
          <w:p>
            <w:pPr>
              <w:pStyle w:val="TableParagraph"/>
              <w:spacing w:before="34"/>
              <w:ind w:left="75" w:right="2"/>
              <w:rPr>
                <w:sz w:val="22"/>
              </w:rPr>
            </w:pPr>
            <w:r>
              <w:rPr>
                <w:spacing w:val="-5"/>
                <w:sz w:val="22"/>
              </w:rPr>
              <w:t>29</w:t>
            </w:r>
          </w:p>
        </w:tc>
        <w:tc>
          <w:tcPr>
            <w:tcW w:w="1655" w:type="dxa"/>
          </w:tcPr>
          <w:p>
            <w:pPr>
              <w:pStyle w:val="TableParagraph"/>
              <w:spacing w:before="34"/>
              <w:ind w:right="25"/>
              <w:rPr>
                <w:sz w:val="22"/>
              </w:rPr>
            </w:pPr>
            <w:r>
              <w:rPr>
                <w:spacing w:val="-5"/>
                <w:sz w:val="22"/>
              </w:rPr>
              <w:t>23</w:t>
            </w:r>
          </w:p>
        </w:tc>
        <w:tc>
          <w:tcPr>
            <w:tcW w:w="2098" w:type="dxa"/>
          </w:tcPr>
          <w:p>
            <w:pPr>
              <w:pStyle w:val="TableParagraph"/>
              <w:spacing w:before="34"/>
              <w:ind w:left="570"/>
              <w:jc w:val="left"/>
              <w:rPr>
                <w:sz w:val="22"/>
              </w:rPr>
            </w:pPr>
            <w:r>
              <w:rPr>
                <w:sz w:val="22"/>
              </w:rPr>
              <w:t>15.7 </w:t>
            </w:r>
            <w:r>
              <w:rPr>
                <w:spacing w:val="-2"/>
                <w:sz w:val="22"/>
              </w:rPr>
              <w:t>(28.8)</w:t>
            </w:r>
          </w:p>
        </w:tc>
        <w:tc>
          <w:tcPr>
            <w:tcW w:w="1303" w:type="dxa"/>
          </w:tcPr>
          <w:p>
            <w:pPr>
              <w:pStyle w:val="TableParagraph"/>
              <w:spacing w:before="34"/>
              <w:ind w:left="79" w:right="1"/>
              <w:rPr>
                <w:sz w:val="22"/>
              </w:rPr>
            </w:pPr>
            <w:r>
              <w:rPr>
                <w:spacing w:val="-5"/>
                <w:sz w:val="22"/>
              </w:rPr>
              <w:t>MR</w:t>
            </w:r>
          </w:p>
        </w:tc>
      </w:tr>
      <w:tr>
        <w:trPr>
          <w:trHeight w:val="333" w:hRule="atLeast"/>
        </w:trPr>
        <w:tc>
          <w:tcPr>
            <w:tcW w:w="765" w:type="dxa"/>
          </w:tcPr>
          <w:p>
            <w:pPr>
              <w:pStyle w:val="TableParagraph"/>
              <w:ind w:left="89"/>
              <w:rPr>
                <w:sz w:val="22"/>
              </w:rPr>
            </w:pPr>
            <w:r>
              <w:rPr>
                <w:spacing w:val="-5"/>
                <w:sz w:val="22"/>
              </w:rPr>
              <w:t>50.</w:t>
            </w:r>
          </w:p>
        </w:tc>
        <w:tc>
          <w:tcPr>
            <w:tcW w:w="2480" w:type="dxa"/>
          </w:tcPr>
          <w:p>
            <w:pPr>
              <w:pStyle w:val="TableParagraph"/>
              <w:ind w:left="199"/>
              <w:jc w:val="left"/>
              <w:rPr>
                <w:sz w:val="22"/>
              </w:rPr>
            </w:pPr>
            <w:r>
              <w:rPr>
                <w:spacing w:val="-2"/>
                <w:sz w:val="22"/>
              </w:rPr>
              <w:t>GT-</w:t>
            </w:r>
            <w:r>
              <w:rPr>
                <w:spacing w:val="-5"/>
                <w:sz w:val="22"/>
              </w:rPr>
              <w:t>10</w:t>
            </w:r>
          </w:p>
        </w:tc>
        <w:tc>
          <w:tcPr>
            <w:tcW w:w="1790" w:type="dxa"/>
          </w:tcPr>
          <w:p>
            <w:pPr>
              <w:pStyle w:val="TableParagraph"/>
              <w:ind w:left="75" w:right="2"/>
              <w:rPr>
                <w:sz w:val="22"/>
              </w:rPr>
            </w:pPr>
            <w:r>
              <w:rPr>
                <w:spacing w:val="-5"/>
                <w:sz w:val="22"/>
              </w:rPr>
              <w:t>53</w:t>
            </w:r>
          </w:p>
        </w:tc>
        <w:tc>
          <w:tcPr>
            <w:tcW w:w="1655" w:type="dxa"/>
          </w:tcPr>
          <w:p>
            <w:pPr>
              <w:pStyle w:val="TableParagraph"/>
              <w:ind w:right="25"/>
              <w:rPr>
                <w:sz w:val="22"/>
              </w:rPr>
            </w:pPr>
            <w:r>
              <w:rPr>
                <w:spacing w:val="-5"/>
                <w:sz w:val="22"/>
              </w:rPr>
              <w:t>47</w:t>
            </w:r>
          </w:p>
        </w:tc>
        <w:tc>
          <w:tcPr>
            <w:tcW w:w="2098" w:type="dxa"/>
          </w:tcPr>
          <w:p>
            <w:pPr>
              <w:pStyle w:val="TableParagraph"/>
              <w:ind w:left="626"/>
              <w:jc w:val="left"/>
              <w:rPr>
                <w:sz w:val="22"/>
              </w:rPr>
            </w:pPr>
            <w:r>
              <w:rPr>
                <w:sz w:val="22"/>
              </w:rPr>
              <w:t>9.6 </w:t>
            </w:r>
            <w:r>
              <w:rPr>
                <w:spacing w:val="-2"/>
                <w:sz w:val="22"/>
              </w:rPr>
              <w:t>(24.9)</w:t>
            </w:r>
          </w:p>
        </w:tc>
        <w:tc>
          <w:tcPr>
            <w:tcW w:w="1303" w:type="dxa"/>
          </w:tcPr>
          <w:p>
            <w:pPr>
              <w:pStyle w:val="TableParagraph"/>
              <w:ind w:left="79" w:right="2"/>
              <w:rPr>
                <w:sz w:val="22"/>
              </w:rPr>
            </w:pPr>
            <w:r>
              <w:rPr>
                <w:spacing w:val="-10"/>
                <w:sz w:val="22"/>
              </w:rPr>
              <w:t>R</w:t>
            </w:r>
          </w:p>
        </w:tc>
      </w:tr>
      <w:tr>
        <w:trPr>
          <w:trHeight w:val="333" w:hRule="atLeast"/>
        </w:trPr>
        <w:tc>
          <w:tcPr>
            <w:tcW w:w="765" w:type="dxa"/>
          </w:tcPr>
          <w:p>
            <w:pPr>
              <w:pStyle w:val="TableParagraph"/>
              <w:ind w:left="89"/>
              <w:rPr>
                <w:sz w:val="22"/>
              </w:rPr>
            </w:pPr>
            <w:r>
              <w:rPr>
                <w:spacing w:val="-5"/>
                <w:sz w:val="22"/>
              </w:rPr>
              <w:t>51.</w:t>
            </w:r>
          </w:p>
        </w:tc>
        <w:tc>
          <w:tcPr>
            <w:tcW w:w="2480" w:type="dxa"/>
          </w:tcPr>
          <w:p>
            <w:pPr>
              <w:pStyle w:val="TableParagraph"/>
              <w:ind w:left="199"/>
              <w:jc w:val="left"/>
              <w:rPr>
                <w:sz w:val="22"/>
              </w:rPr>
            </w:pPr>
            <w:r>
              <w:rPr>
                <w:spacing w:val="-2"/>
                <w:sz w:val="22"/>
              </w:rPr>
              <w:t>MT-2019-</w:t>
            </w:r>
            <w:r>
              <w:rPr>
                <w:spacing w:val="-5"/>
                <w:sz w:val="22"/>
              </w:rPr>
              <w:t>11</w:t>
            </w:r>
          </w:p>
        </w:tc>
        <w:tc>
          <w:tcPr>
            <w:tcW w:w="1790" w:type="dxa"/>
          </w:tcPr>
          <w:p>
            <w:pPr>
              <w:pStyle w:val="TableParagraph"/>
              <w:ind w:left="75" w:right="2"/>
              <w:rPr>
                <w:sz w:val="22"/>
              </w:rPr>
            </w:pPr>
            <w:r>
              <w:rPr>
                <w:spacing w:val="-5"/>
                <w:sz w:val="22"/>
              </w:rPr>
              <w:t>28</w:t>
            </w:r>
          </w:p>
        </w:tc>
        <w:tc>
          <w:tcPr>
            <w:tcW w:w="1655" w:type="dxa"/>
          </w:tcPr>
          <w:p>
            <w:pPr>
              <w:pStyle w:val="TableParagraph"/>
              <w:ind w:right="25"/>
              <w:rPr>
                <w:sz w:val="22"/>
              </w:rPr>
            </w:pPr>
            <w:r>
              <w:rPr>
                <w:spacing w:val="-5"/>
                <w:sz w:val="22"/>
              </w:rPr>
              <w:t>28</w:t>
            </w:r>
          </w:p>
        </w:tc>
        <w:tc>
          <w:tcPr>
            <w:tcW w:w="2098" w:type="dxa"/>
          </w:tcPr>
          <w:p>
            <w:pPr>
              <w:pStyle w:val="TableParagraph"/>
              <w:ind w:left="570"/>
              <w:jc w:val="left"/>
              <w:rPr>
                <w:sz w:val="22"/>
              </w:rPr>
            </w:pPr>
            <w:r>
              <w:rPr>
                <w:sz w:val="22"/>
              </w:rPr>
              <w:t>21.0 </w:t>
            </w:r>
            <w:r>
              <w:rPr>
                <w:spacing w:val="-2"/>
                <w:sz w:val="22"/>
              </w:rPr>
              <w:t>(31.4)</w:t>
            </w:r>
          </w:p>
        </w:tc>
        <w:tc>
          <w:tcPr>
            <w:tcW w:w="1303" w:type="dxa"/>
          </w:tcPr>
          <w:p>
            <w:pPr>
              <w:pStyle w:val="TableParagraph"/>
              <w:ind w:left="79" w:right="2"/>
              <w:rPr>
                <w:sz w:val="22"/>
              </w:rPr>
            </w:pPr>
            <w:r>
              <w:rPr>
                <w:spacing w:val="-5"/>
                <w:sz w:val="22"/>
              </w:rPr>
              <w:t>MS</w:t>
            </w:r>
          </w:p>
        </w:tc>
      </w:tr>
      <w:tr>
        <w:trPr>
          <w:trHeight w:val="332" w:hRule="atLeast"/>
        </w:trPr>
        <w:tc>
          <w:tcPr>
            <w:tcW w:w="765" w:type="dxa"/>
          </w:tcPr>
          <w:p>
            <w:pPr>
              <w:pStyle w:val="TableParagraph"/>
              <w:ind w:left="89"/>
              <w:rPr>
                <w:sz w:val="22"/>
              </w:rPr>
            </w:pPr>
            <w:r>
              <w:rPr>
                <w:spacing w:val="-5"/>
                <w:sz w:val="22"/>
              </w:rPr>
              <w:t>52.</w:t>
            </w:r>
          </w:p>
        </w:tc>
        <w:tc>
          <w:tcPr>
            <w:tcW w:w="2480" w:type="dxa"/>
          </w:tcPr>
          <w:p>
            <w:pPr>
              <w:pStyle w:val="TableParagraph"/>
              <w:ind w:left="199"/>
              <w:jc w:val="left"/>
              <w:rPr>
                <w:sz w:val="22"/>
              </w:rPr>
            </w:pPr>
            <w:r>
              <w:rPr>
                <w:spacing w:val="-2"/>
                <w:sz w:val="22"/>
              </w:rPr>
              <w:t>AT-</w:t>
            </w:r>
            <w:r>
              <w:rPr>
                <w:spacing w:val="-5"/>
                <w:sz w:val="22"/>
              </w:rPr>
              <w:t>324</w:t>
            </w:r>
          </w:p>
        </w:tc>
        <w:tc>
          <w:tcPr>
            <w:tcW w:w="1790" w:type="dxa"/>
          </w:tcPr>
          <w:p>
            <w:pPr>
              <w:pStyle w:val="TableParagraph"/>
              <w:ind w:left="75" w:right="2"/>
              <w:rPr>
                <w:sz w:val="22"/>
              </w:rPr>
            </w:pPr>
            <w:r>
              <w:rPr>
                <w:spacing w:val="-5"/>
                <w:sz w:val="22"/>
              </w:rPr>
              <w:t>39</w:t>
            </w:r>
          </w:p>
        </w:tc>
        <w:tc>
          <w:tcPr>
            <w:tcW w:w="1655" w:type="dxa"/>
          </w:tcPr>
          <w:p>
            <w:pPr>
              <w:pStyle w:val="TableParagraph"/>
              <w:ind w:right="25"/>
              <w:rPr>
                <w:sz w:val="22"/>
              </w:rPr>
            </w:pPr>
            <w:r>
              <w:rPr>
                <w:spacing w:val="-5"/>
                <w:sz w:val="22"/>
              </w:rPr>
              <w:t>37</w:t>
            </w:r>
          </w:p>
        </w:tc>
        <w:tc>
          <w:tcPr>
            <w:tcW w:w="2098" w:type="dxa"/>
          </w:tcPr>
          <w:p>
            <w:pPr>
              <w:pStyle w:val="TableParagraph"/>
              <w:ind w:left="570"/>
              <w:jc w:val="left"/>
              <w:rPr>
                <w:sz w:val="22"/>
              </w:rPr>
            </w:pPr>
            <w:r>
              <w:rPr>
                <w:sz w:val="22"/>
              </w:rPr>
              <w:t>18.6 </w:t>
            </w:r>
            <w:r>
              <w:rPr>
                <w:spacing w:val="-2"/>
                <w:sz w:val="22"/>
              </w:rPr>
              <w:t>(30.3)</w:t>
            </w:r>
          </w:p>
        </w:tc>
        <w:tc>
          <w:tcPr>
            <w:tcW w:w="1303" w:type="dxa"/>
          </w:tcPr>
          <w:p>
            <w:pPr>
              <w:pStyle w:val="TableParagraph"/>
              <w:ind w:left="79" w:right="1"/>
              <w:rPr>
                <w:sz w:val="22"/>
              </w:rPr>
            </w:pPr>
            <w:r>
              <w:rPr>
                <w:spacing w:val="-5"/>
                <w:sz w:val="22"/>
              </w:rPr>
              <w:t>MR</w:t>
            </w:r>
          </w:p>
        </w:tc>
      </w:tr>
      <w:tr>
        <w:trPr>
          <w:trHeight w:val="332" w:hRule="atLeast"/>
        </w:trPr>
        <w:tc>
          <w:tcPr>
            <w:tcW w:w="765" w:type="dxa"/>
          </w:tcPr>
          <w:p>
            <w:pPr>
              <w:pStyle w:val="TableParagraph"/>
              <w:spacing w:before="34"/>
              <w:ind w:left="89"/>
              <w:rPr>
                <w:sz w:val="22"/>
              </w:rPr>
            </w:pPr>
            <w:r>
              <w:rPr>
                <w:spacing w:val="-5"/>
                <w:sz w:val="22"/>
              </w:rPr>
              <w:t>53.</w:t>
            </w:r>
          </w:p>
        </w:tc>
        <w:tc>
          <w:tcPr>
            <w:tcW w:w="2480" w:type="dxa"/>
          </w:tcPr>
          <w:p>
            <w:pPr>
              <w:pStyle w:val="TableParagraph"/>
              <w:spacing w:before="34"/>
              <w:ind w:left="199"/>
              <w:jc w:val="left"/>
              <w:rPr>
                <w:sz w:val="22"/>
              </w:rPr>
            </w:pPr>
            <w:r>
              <w:rPr>
                <w:spacing w:val="-2"/>
                <w:sz w:val="22"/>
              </w:rPr>
              <w:t>PT-</w:t>
            </w:r>
            <w:r>
              <w:rPr>
                <w:spacing w:val="-5"/>
                <w:sz w:val="22"/>
              </w:rPr>
              <w:t>10</w:t>
            </w:r>
          </w:p>
        </w:tc>
        <w:tc>
          <w:tcPr>
            <w:tcW w:w="1790" w:type="dxa"/>
          </w:tcPr>
          <w:p>
            <w:pPr>
              <w:pStyle w:val="TableParagraph"/>
              <w:spacing w:before="34"/>
              <w:ind w:left="75" w:right="2"/>
              <w:rPr>
                <w:sz w:val="22"/>
              </w:rPr>
            </w:pPr>
            <w:r>
              <w:rPr>
                <w:spacing w:val="-5"/>
                <w:sz w:val="22"/>
              </w:rPr>
              <w:t>23</w:t>
            </w:r>
          </w:p>
        </w:tc>
        <w:tc>
          <w:tcPr>
            <w:tcW w:w="1655" w:type="dxa"/>
          </w:tcPr>
          <w:p>
            <w:pPr>
              <w:pStyle w:val="TableParagraph"/>
              <w:spacing w:before="34"/>
              <w:ind w:right="25"/>
              <w:rPr>
                <w:sz w:val="22"/>
              </w:rPr>
            </w:pPr>
            <w:r>
              <w:rPr>
                <w:spacing w:val="-5"/>
                <w:sz w:val="22"/>
              </w:rPr>
              <w:t>22</w:t>
            </w:r>
          </w:p>
        </w:tc>
        <w:tc>
          <w:tcPr>
            <w:tcW w:w="2098" w:type="dxa"/>
          </w:tcPr>
          <w:p>
            <w:pPr>
              <w:pStyle w:val="TableParagraph"/>
              <w:spacing w:before="34"/>
              <w:ind w:left="570"/>
              <w:jc w:val="left"/>
              <w:rPr>
                <w:sz w:val="22"/>
              </w:rPr>
            </w:pPr>
            <w:r>
              <w:rPr>
                <w:sz w:val="22"/>
              </w:rPr>
              <w:t>16.6 </w:t>
            </w:r>
            <w:r>
              <w:rPr>
                <w:spacing w:val="-2"/>
                <w:sz w:val="22"/>
              </w:rPr>
              <w:t>(29.3)</w:t>
            </w:r>
          </w:p>
        </w:tc>
        <w:tc>
          <w:tcPr>
            <w:tcW w:w="1303" w:type="dxa"/>
          </w:tcPr>
          <w:p>
            <w:pPr>
              <w:pStyle w:val="TableParagraph"/>
              <w:spacing w:before="34"/>
              <w:ind w:left="79" w:right="1"/>
              <w:rPr>
                <w:sz w:val="22"/>
              </w:rPr>
            </w:pPr>
            <w:r>
              <w:rPr>
                <w:spacing w:val="-5"/>
                <w:sz w:val="22"/>
              </w:rPr>
              <w:t>MR</w:t>
            </w:r>
          </w:p>
        </w:tc>
      </w:tr>
      <w:tr>
        <w:trPr>
          <w:trHeight w:val="333" w:hRule="atLeast"/>
        </w:trPr>
        <w:tc>
          <w:tcPr>
            <w:tcW w:w="765" w:type="dxa"/>
          </w:tcPr>
          <w:p>
            <w:pPr>
              <w:pStyle w:val="TableParagraph"/>
              <w:ind w:left="89"/>
              <w:rPr>
                <w:sz w:val="22"/>
              </w:rPr>
            </w:pPr>
            <w:r>
              <w:rPr>
                <w:spacing w:val="-5"/>
                <w:sz w:val="22"/>
              </w:rPr>
              <w:t>54.</w:t>
            </w:r>
          </w:p>
        </w:tc>
        <w:tc>
          <w:tcPr>
            <w:tcW w:w="2480" w:type="dxa"/>
          </w:tcPr>
          <w:p>
            <w:pPr>
              <w:pStyle w:val="TableParagraph"/>
              <w:ind w:left="199"/>
              <w:jc w:val="left"/>
              <w:rPr>
                <w:sz w:val="22"/>
              </w:rPr>
            </w:pPr>
            <w:r>
              <w:rPr>
                <w:spacing w:val="-2"/>
                <w:sz w:val="22"/>
              </w:rPr>
              <w:t>SVT-</w:t>
            </w:r>
            <w:r>
              <w:rPr>
                <w:spacing w:val="-5"/>
                <w:sz w:val="22"/>
              </w:rPr>
              <w:t>451</w:t>
            </w:r>
          </w:p>
        </w:tc>
        <w:tc>
          <w:tcPr>
            <w:tcW w:w="1790" w:type="dxa"/>
          </w:tcPr>
          <w:p>
            <w:pPr>
              <w:pStyle w:val="TableParagraph"/>
              <w:ind w:left="75" w:right="2"/>
              <w:rPr>
                <w:sz w:val="22"/>
              </w:rPr>
            </w:pPr>
            <w:r>
              <w:rPr>
                <w:spacing w:val="-5"/>
                <w:sz w:val="22"/>
              </w:rPr>
              <w:t>29</w:t>
            </w:r>
          </w:p>
        </w:tc>
        <w:tc>
          <w:tcPr>
            <w:tcW w:w="1655" w:type="dxa"/>
          </w:tcPr>
          <w:p>
            <w:pPr>
              <w:pStyle w:val="TableParagraph"/>
              <w:ind w:right="25"/>
              <w:rPr>
                <w:sz w:val="22"/>
              </w:rPr>
            </w:pPr>
            <w:r>
              <w:rPr>
                <w:spacing w:val="-5"/>
                <w:sz w:val="22"/>
              </w:rPr>
              <w:t>29</w:t>
            </w:r>
          </w:p>
        </w:tc>
        <w:tc>
          <w:tcPr>
            <w:tcW w:w="2098" w:type="dxa"/>
          </w:tcPr>
          <w:p>
            <w:pPr>
              <w:pStyle w:val="TableParagraph"/>
              <w:ind w:left="570"/>
              <w:jc w:val="left"/>
              <w:rPr>
                <w:sz w:val="22"/>
              </w:rPr>
            </w:pPr>
            <w:r>
              <w:rPr>
                <w:sz w:val="22"/>
              </w:rPr>
              <w:t>19.5 </w:t>
            </w:r>
            <w:r>
              <w:rPr>
                <w:spacing w:val="-2"/>
                <w:sz w:val="22"/>
              </w:rPr>
              <w:t>(30.4)</w:t>
            </w:r>
          </w:p>
        </w:tc>
        <w:tc>
          <w:tcPr>
            <w:tcW w:w="1303" w:type="dxa"/>
          </w:tcPr>
          <w:p>
            <w:pPr>
              <w:pStyle w:val="TableParagraph"/>
              <w:ind w:left="79" w:right="1"/>
              <w:rPr>
                <w:sz w:val="22"/>
              </w:rPr>
            </w:pPr>
            <w:r>
              <w:rPr>
                <w:spacing w:val="-5"/>
                <w:sz w:val="22"/>
              </w:rPr>
              <w:t>MR</w:t>
            </w:r>
          </w:p>
        </w:tc>
      </w:tr>
      <w:tr>
        <w:trPr>
          <w:trHeight w:val="333" w:hRule="atLeast"/>
        </w:trPr>
        <w:tc>
          <w:tcPr>
            <w:tcW w:w="765" w:type="dxa"/>
          </w:tcPr>
          <w:p>
            <w:pPr>
              <w:pStyle w:val="TableParagraph"/>
              <w:ind w:left="89"/>
              <w:rPr>
                <w:sz w:val="22"/>
              </w:rPr>
            </w:pPr>
            <w:r>
              <w:rPr>
                <w:spacing w:val="-5"/>
                <w:sz w:val="22"/>
              </w:rPr>
              <w:t>55.</w:t>
            </w:r>
          </w:p>
        </w:tc>
        <w:tc>
          <w:tcPr>
            <w:tcW w:w="2480" w:type="dxa"/>
          </w:tcPr>
          <w:p>
            <w:pPr>
              <w:pStyle w:val="TableParagraph"/>
              <w:ind w:left="199"/>
              <w:jc w:val="left"/>
              <w:rPr>
                <w:sz w:val="22"/>
              </w:rPr>
            </w:pPr>
            <w:r>
              <w:rPr>
                <w:spacing w:val="-2"/>
                <w:sz w:val="22"/>
              </w:rPr>
              <w:t>TKG-</w:t>
            </w:r>
            <w:r>
              <w:rPr>
                <w:spacing w:val="-5"/>
                <w:sz w:val="22"/>
              </w:rPr>
              <w:t>22</w:t>
            </w:r>
          </w:p>
        </w:tc>
        <w:tc>
          <w:tcPr>
            <w:tcW w:w="1790" w:type="dxa"/>
          </w:tcPr>
          <w:p>
            <w:pPr>
              <w:pStyle w:val="TableParagraph"/>
              <w:ind w:left="75" w:right="2"/>
              <w:rPr>
                <w:sz w:val="22"/>
              </w:rPr>
            </w:pPr>
            <w:r>
              <w:rPr>
                <w:spacing w:val="-5"/>
                <w:sz w:val="22"/>
              </w:rPr>
              <w:t>27</w:t>
            </w:r>
          </w:p>
        </w:tc>
        <w:tc>
          <w:tcPr>
            <w:tcW w:w="1655" w:type="dxa"/>
          </w:tcPr>
          <w:p>
            <w:pPr>
              <w:pStyle w:val="TableParagraph"/>
              <w:ind w:right="25"/>
              <w:rPr>
                <w:sz w:val="22"/>
              </w:rPr>
            </w:pPr>
            <w:r>
              <w:rPr>
                <w:spacing w:val="-5"/>
                <w:sz w:val="22"/>
              </w:rPr>
              <w:t>24</w:t>
            </w:r>
          </w:p>
        </w:tc>
        <w:tc>
          <w:tcPr>
            <w:tcW w:w="2098" w:type="dxa"/>
          </w:tcPr>
          <w:p>
            <w:pPr>
              <w:pStyle w:val="TableParagraph"/>
              <w:ind w:left="570"/>
              <w:jc w:val="left"/>
              <w:rPr>
                <w:sz w:val="22"/>
              </w:rPr>
            </w:pPr>
            <w:r>
              <w:rPr>
                <w:sz w:val="22"/>
              </w:rPr>
              <w:t>14.2 </w:t>
            </w:r>
            <w:r>
              <w:rPr>
                <w:spacing w:val="-2"/>
                <w:sz w:val="22"/>
              </w:rPr>
              <w:t>(27.8)</w:t>
            </w:r>
          </w:p>
        </w:tc>
        <w:tc>
          <w:tcPr>
            <w:tcW w:w="1303" w:type="dxa"/>
          </w:tcPr>
          <w:p>
            <w:pPr>
              <w:pStyle w:val="TableParagraph"/>
              <w:ind w:left="79" w:right="1"/>
              <w:rPr>
                <w:sz w:val="22"/>
              </w:rPr>
            </w:pPr>
            <w:r>
              <w:rPr>
                <w:spacing w:val="-5"/>
                <w:sz w:val="22"/>
              </w:rPr>
              <w:t>MR</w:t>
            </w:r>
          </w:p>
        </w:tc>
      </w:tr>
      <w:tr>
        <w:trPr>
          <w:trHeight w:val="332" w:hRule="atLeast"/>
        </w:trPr>
        <w:tc>
          <w:tcPr>
            <w:tcW w:w="765" w:type="dxa"/>
          </w:tcPr>
          <w:p>
            <w:pPr>
              <w:pStyle w:val="TableParagraph"/>
              <w:ind w:left="89"/>
              <w:rPr>
                <w:sz w:val="22"/>
              </w:rPr>
            </w:pPr>
            <w:r>
              <w:rPr>
                <w:spacing w:val="-5"/>
                <w:sz w:val="22"/>
              </w:rPr>
              <w:t>56.</w:t>
            </w:r>
          </w:p>
        </w:tc>
        <w:tc>
          <w:tcPr>
            <w:tcW w:w="2480" w:type="dxa"/>
          </w:tcPr>
          <w:p>
            <w:pPr>
              <w:pStyle w:val="TableParagraph"/>
              <w:ind w:left="199"/>
              <w:jc w:val="left"/>
              <w:rPr>
                <w:sz w:val="22"/>
              </w:rPr>
            </w:pPr>
            <w:r>
              <w:rPr>
                <w:spacing w:val="-2"/>
                <w:sz w:val="22"/>
              </w:rPr>
              <w:t>VZM-</w:t>
            </w:r>
            <w:r>
              <w:rPr>
                <w:spacing w:val="-10"/>
                <w:sz w:val="22"/>
              </w:rPr>
              <w:t>2</w:t>
            </w:r>
          </w:p>
        </w:tc>
        <w:tc>
          <w:tcPr>
            <w:tcW w:w="1790" w:type="dxa"/>
          </w:tcPr>
          <w:p>
            <w:pPr>
              <w:pStyle w:val="TableParagraph"/>
              <w:ind w:left="75" w:right="2"/>
              <w:rPr>
                <w:sz w:val="22"/>
              </w:rPr>
            </w:pPr>
            <w:r>
              <w:rPr>
                <w:spacing w:val="-5"/>
                <w:sz w:val="22"/>
              </w:rPr>
              <w:t>47</w:t>
            </w:r>
          </w:p>
        </w:tc>
        <w:tc>
          <w:tcPr>
            <w:tcW w:w="1655" w:type="dxa"/>
          </w:tcPr>
          <w:p>
            <w:pPr>
              <w:pStyle w:val="TableParagraph"/>
              <w:ind w:right="25"/>
              <w:rPr>
                <w:sz w:val="22"/>
              </w:rPr>
            </w:pPr>
            <w:r>
              <w:rPr>
                <w:spacing w:val="-5"/>
                <w:sz w:val="22"/>
              </w:rPr>
              <w:t>41</w:t>
            </w:r>
          </w:p>
        </w:tc>
        <w:tc>
          <w:tcPr>
            <w:tcW w:w="2098" w:type="dxa"/>
          </w:tcPr>
          <w:p>
            <w:pPr>
              <w:pStyle w:val="TableParagraph"/>
              <w:ind w:left="570"/>
              <w:jc w:val="left"/>
              <w:rPr>
                <w:sz w:val="22"/>
              </w:rPr>
            </w:pPr>
            <w:r>
              <w:rPr>
                <w:sz w:val="22"/>
              </w:rPr>
              <w:t>15.9 </w:t>
            </w:r>
            <w:r>
              <w:rPr>
                <w:spacing w:val="-2"/>
                <w:sz w:val="22"/>
              </w:rPr>
              <w:t>(28.9)</w:t>
            </w:r>
          </w:p>
        </w:tc>
        <w:tc>
          <w:tcPr>
            <w:tcW w:w="1303" w:type="dxa"/>
          </w:tcPr>
          <w:p>
            <w:pPr>
              <w:pStyle w:val="TableParagraph"/>
              <w:ind w:left="79" w:right="1"/>
              <w:rPr>
                <w:sz w:val="22"/>
              </w:rPr>
            </w:pPr>
            <w:r>
              <w:rPr>
                <w:spacing w:val="-5"/>
                <w:sz w:val="22"/>
              </w:rPr>
              <w:t>MR</w:t>
            </w:r>
          </w:p>
        </w:tc>
      </w:tr>
      <w:tr>
        <w:trPr>
          <w:trHeight w:val="332" w:hRule="atLeast"/>
        </w:trPr>
        <w:tc>
          <w:tcPr>
            <w:tcW w:w="765" w:type="dxa"/>
          </w:tcPr>
          <w:p>
            <w:pPr>
              <w:pStyle w:val="TableParagraph"/>
              <w:spacing w:before="34"/>
              <w:ind w:left="89"/>
              <w:rPr>
                <w:sz w:val="22"/>
              </w:rPr>
            </w:pPr>
            <w:r>
              <w:rPr>
                <w:spacing w:val="-5"/>
                <w:sz w:val="22"/>
              </w:rPr>
              <w:t>57.</w:t>
            </w:r>
          </w:p>
        </w:tc>
        <w:tc>
          <w:tcPr>
            <w:tcW w:w="2480" w:type="dxa"/>
          </w:tcPr>
          <w:p>
            <w:pPr>
              <w:pStyle w:val="TableParagraph"/>
              <w:spacing w:before="34"/>
              <w:ind w:left="199"/>
              <w:jc w:val="left"/>
              <w:rPr>
                <w:sz w:val="22"/>
              </w:rPr>
            </w:pPr>
            <w:r>
              <w:rPr>
                <w:spacing w:val="-2"/>
                <w:sz w:val="22"/>
              </w:rPr>
              <w:t>CUMS-19-</w:t>
            </w:r>
            <w:r>
              <w:rPr>
                <w:spacing w:val="-10"/>
                <w:sz w:val="22"/>
              </w:rPr>
              <w:t>4</w:t>
            </w:r>
          </w:p>
        </w:tc>
        <w:tc>
          <w:tcPr>
            <w:tcW w:w="1790" w:type="dxa"/>
          </w:tcPr>
          <w:p>
            <w:pPr>
              <w:pStyle w:val="TableParagraph"/>
              <w:spacing w:before="34"/>
              <w:ind w:left="75" w:right="2"/>
              <w:rPr>
                <w:sz w:val="22"/>
              </w:rPr>
            </w:pPr>
            <w:r>
              <w:rPr>
                <w:spacing w:val="-5"/>
                <w:sz w:val="22"/>
              </w:rPr>
              <w:t>32</w:t>
            </w:r>
          </w:p>
        </w:tc>
        <w:tc>
          <w:tcPr>
            <w:tcW w:w="1655" w:type="dxa"/>
          </w:tcPr>
          <w:p>
            <w:pPr>
              <w:pStyle w:val="TableParagraph"/>
              <w:spacing w:before="34"/>
              <w:ind w:right="25"/>
              <w:rPr>
                <w:sz w:val="22"/>
              </w:rPr>
            </w:pPr>
            <w:r>
              <w:rPr>
                <w:spacing w:val="-5"/>
                <w:sz w:val="22"/>
              </w:rPr>
              <w:t>27</w:t>
            </w:r>
          </w:p>
        </w:tc>
        <w:tc>
          <w:tcPr>
            <w:tcW w:w="2098" w:type="dxa"/>
          </w:tcPr>
          <w:p>
            <w:pPr>
              <w:pStyle w:val="TableParagraph"/>
              <w:spacing w:before="34"/>
              <w:ind w:left="570"/>
              <w:jc w:val="left"/>
              <w:rPr>
                <w:sz w:val="22"/>
              </w:rPr>
            </w:pPr>
            <w:r>
              <w:rPr>
                <w:sz w:val="22"/>
              </w:rPr>
              <w:t>20.0 </w:t>
            </w:r>
            <w:r>
              <w:rPr>
                <w:spacing w:val="-2"/>
                <w:sz w:val="22"/>
              </w:rPr>
              <w:t>(31.1)</w:t>
            </w:r>
          </w:p>
        </w:tc>
        <w:tc>
          <w:tcPr>
            <w:tcW w:w="1303" w:type="dxa"/>
          </w:tcPr>
          <w:p>
            <w:pPr>
              <w:pStyle w:val="TableParagraph"/>
              <w:spacing w:before="34"/>
              <w:ind w:left="79" w:right="1"/>
              <w:rPr>
                <w:sz w:val="22"/>
              </w:rPr>
            </w:pPr>
            <w:r>
              <w:rPr>
                <w:spacing w:val="-5"/>
                <w:sz w:val="22"/>
              </w:rPr>
              <w:t>MR</w:t>
            </w:r>
          </w:p>
        </w:tc>
      </w:tr>
      <w:tr>
        <w:trPr>
          <w:trHeight w:val="333" w:hRule="atLeast"/>
        </w:trPr>
        <w:tc>
          <w:tcPr>
            <w:tcW w:w="765" w:type="dxa"/>
          </w:tcPr>
          <w:p>
            <w:pPr>
              <w:pStyle w:val="TableParagraph"/>
              <w:ind w:left="89"/>
              <w:rPr>
                <w:sz w:val="22"/>
              </w:rPr>
            </w:pPr>
            <w:r>
              <w:rPr>
                <w:spacing w:val="-5"/>
                <w:sz w:val="22"/>
              </w:rPr>
              <w:t>58.</w:t>
            </w:r>
          </w:p>
        </w:tc>
        <w:tc>
          <w:tcPr>
            <w:tcW w:w="2480" w:type="dxa"/>
          </w:tcPr>
          <w:p>
            <w:pPr>
              <w:pStyle w:val="TableParagraph"/>
              <w:ind w:left="199"/>
              <w:jc w:val="left"/>
              <w:rPr>
                <w:sz w:val="22"/>
              </w:rPr>
            </w:pPr>
            <w:r>
              <w:rPr>
                <w:spacing w:val="-2"/>
                <w:sz w:val="22"/>
              </w:rPr>
              <w:t>DS-</w:t>
            </w:r>
            <w:r>
              <w:rPr>
                <w:spacing w:val="-5"/>
                <w:sz w:val="22"/>
              </w:rPr>
              <w:t>56</w:t>
            </w:r>
          </w:p>
        </w:tc>
        <w:tc>
          <w:tcPr>
            <w:tcW w:w="1790" w:type="dxa"/>
          </w:tcPr>
          <w:p>
            <w:pPr>
              <w:pStyle w:val="TableParagraph"/>
              <w:ind w:left="75" w:right="2"/>
              <w:rPr>
                <w:sz w:val="22"/>
              </w:rPr>
            </w:pPr>
            <w:r>
              <w:rPr>
                <w:spacing w:val="-5"/>
                <w:sz w:val="22"/>
              </w:rPr>
              <w:t>34</w:t>
            </w:r>
          </w:p>
        </w:tc>
        <w:tc>
          <w:tcPr>
            <w:tcW w:w="1655" w:type="dxa"/>
          </w:tcPr>
          <w:p>
            <w:pPr>
              <w:pStyle w:val="TableParagraph"/>
              <w:ind w:right="25"/>
              <w:rPr>
                <w:sz w:val="22"/>
              </w:rPr>
            </w:pPr>
            <w:r>
              <w:rPr>
                <w:spacing w:val="-5"/>
                <w:sz w:val="22"/>
              </w:rPr>
              <w:t>26</w:t>
            </w:r>
          </w:p>
        </w:tc>
        <w:tc>
          <w:tcPr>
            <w:tcW w:w="2098" w:type="dxa"/>
          </w:tcPr>
          <w:p>
            <w:pPr>
              <w:pStyle w:val="TableParagraph"/>
              <w:ind w:left="570"/>
              <w:jc w:val="left"/>
              <w:rPr>
                <w:sz w:val="22"/>
              </w:rPr>
            </w:pPr>
            <w:r>
              <w:rPr>
                <w:sz w:val="22"/>
              </w:rPr>
              <w:t>41.3 </w:t>
            </w:r>
            <w:r>
              <w:rPr>
                <w:spacing w:val="-2"/>
                <w:sz w:val="22"/>
              </w:rPr>
              <w:t>(39.2)</w:t>
            </w:r>
          </w:p>
        </w:tc>
        <w:tc>
          <w:tcPr>
            <w:tcW w:w="1303" w:type="dxa"/>
          </w:tcPr>
          <w:p>
            <w:pPr>
              <w:pStyle w:val="TableParagraph"/>
              <w:ind w:left="79" w:right="2"/>
              <w:rPr>
                <w:sz w:val="22"/>
              </w:rPr>
            </w:pPr>
            <w:r>
              <w:rPr>
                <w:spacing w:val="-10"/>
                <w:sz w:val="22"/>
              </w:rPr>
              <w:t>S</w:t>
            </w:r>
          </w:p>
        </w:tc>
      </w:tr>
      <w:tr>
        <w:trPr>
          <w:trHeight w:val="333" w:hRule="atLeast"/>
        </w:trPr>
        <w:tc>
          <w:tcPr>
            <w:tcW w:w="765" w:type="dxa"/>
          </w:tcPr>
          <w:p>
            <w:pPr>
              <w:pStyle w:val="TableParagraph"/>
              <w:ind w:left="89"/>
              <w:rPr>
                <w:sz w:val="22"/>
              </w:rPr>
            </w:pPr>
            <w:r>
              <w:rPr>
                <w:spacing w:val="-5"/>
                <w:sz w:val="22"/>
              </w:rPr>
              <w:t>59.</w:t>
            </w:r>
          </w:p>
        </w:tc>
        <w:tc>
          <w:tcPr>
            <w:tcW w:w="2480" w:type="dxa"/>
          </w:tcPr>
          <w:p>
            <w:pPr>
              <w:pStyle w:val="TableParagraph"/>
              <w:ind w:left="199"/>
              <w:jc w:val="left"/>
              <w:rPr>
                <w:sz w:val="22"/>
              </w:rPr>
            </w:pPr>
            <w:r>
              <w:rPr>
                <w:sz w:val="22"/>
              </w:rPr>
              <w:t>YLM-66</w:t>
            </w:r>
            <w:r>
              <w:rPr>
                <w:spacing w:val="-5"/>
                <w:sz w:val="22"/>
              </w:rPr>
              <w:t> </w:t>
            </w:r>
            <w:r>
              <w:rPr>
                <w:spacing w:val="-2"/>
                <w:sz w:val="22"/>
              </w:rPr>
              <w:t>(Check)</w:t>
            </w:r>
          </w:p>
        </w:tc>
        <w:tc>
          <w:tcPr>
            <w:tcW w:w="1790" w:type="dxa"/>
          </w:tcPr>
          <w:p>
            <w:pPr>
              <w:pStyle w:val="TableParagraph"/>
              <w:ind w:left="75" w:right="2"/>
              <w:rPr>
                <w:sz w:val="22"/>
              </w:rPr>
            </w:pPr>
            <w:r>
              <w:rPr>
                <w:spacing w:val="-5"/>
                <w:sz w:val="22"/>
              </w:rPr>
              <w:t>35</w:t>
            </w:r>
          </w:p>
        </w:tc>
        <w:tc>
          <w:tcPr>
            <w:tcW w:w="1655" w:type="dxa"/>
          </w:tcPr>
          <w:p>
            <w:pPr>
              <w:pStyle w:val="TableParagraph"/>
              <w:ind w:right="25"/>
              <w:rPr>
                <w:sz w:val="22"/>
              </w:rPr>
            </w:pPr>
            <w:r>
              <w:rPr>
                <w:spacing w:val="-5"/>
                <w:sz w:val="22"/>
              </w:rPr>
              <w:t>47</w:t>
            </w:r>
          </w:p>
        </w:tc>
        <w:tc>
          <w:tcPr>
            <w:tcW w:w="2098" w:type="dxa"/>
          </w:tcPr>
          <w:p>
            <w:pPr>
              <w:pStyle w:val="TableParagraph"/>
              <w:ind w:left="570"/>
              <w:jc w:val="left"/>
              <w:rPr>
                <w:sz w:val="22"/>
              </w:rPr>
            </w:pPr>
            <w:r>
              <w:rPr>
                <w:sz w:val="22"/>
              </w:rPr>
              <w:t>44.8 </w:t>
            </w:r>
            <w:r>
              <w:rPr>
                <w:spacing w:val="-2"/>
                <w:sz w:val="22"/>
              </w:rPr>
              <w:t>(40.4)</w:t>
            </w:r>
          </w:p>
        </w:tc>
        <w:tc>
          <w:tcPr>
            <w:tcW w:w="1303" w:type="dxa"/>
          </w:tcPr>
          <w:p>
            <w:pPr>
              <w:pStyle w:val="TableParagraph"/>
              <w:ind w:left="79" w:right="2"/>
              <w:rPr>
                <w:sz w:val="22"/>
              </w:rPr>
            </w:pPr>
            <w:r>
              <w:rPr>
                <w:spacing w:val="-10"/>
                <w:sz w:val="22"/>
              </w:rPr>
              <w:t>S</w:t>
            </w:r>
          </w:p>
        </w:tc>
      </w:tr>
      <w:tr>
        <w:trPr>
          <w:trHeight w:val="332" w:hRule="atLeast"/>
        </w:trPr>
        <w:tc>
          <w:tcPr>
            <w:tcW w:w="765" w:type="dxa"/>
          </w:tcPr>
          <w:p>
            <w:pPr>
              <w:pStyle w:val="TableParagraph"/>
              <w:ind w:left="89"/>
              <w:rPr>
                <w:sz w:val="22"/>
              </w:rPr>
            </w:pPr>
            <w:r>
              <w:rPr>
                <w:spacing w:val="-5"/>
                <w:sz w:val="22"/>
              </w:rPr>
              <w:t>60.</w:t>
            </w:r>
          </w:p>
        </w:tc>
        <w:tc>
          <w:tcPr>
            <w:tcW w:w="2480" w:type="dxa"/>
          </w:tcPr>
          <w:p>
            <w:pPr>
              <w:pStyle w:val="TableParagraph"/>
              <w:ind w:left="199"/>
              <w:jc w:val="left"/>
              <w:rPr>
                <w:sz w:val="22"/>
              </w:rPr>
            </w:pPr>
            <w:r>
              <w:rPr>
                <w:sz w:val="22"/>
              </w:rPr>
              <w:t>YLM-146</w:t>
            </w:r>
            <w:r>
              <w:rPr>
                <w:spacing w:val="-5"/>
                <w:sz w:val="22"/>
              </w:rPr>
              <w:t> </w:t>
            </w:r>
            <w:r>
              <w:rPr>
                <w:spacing w:val="-2"/>
                <w:sz w:val="22"/>
              </w:rPr>
              <w:t>(Check)</w:t>
            </w:r>
          </w:p>
        </w:tc>
        <w:tc>
          <w:tcPr>
            <w:tcW w:w="1790" w:type="dxa"/>
          </w:tcPr>
          <w:p>
            <w:pPr>
              <w:pStyle w:val="TableParagraph"/>
              <w:ind w:left="75" w:right="2"/>
              <w:rPr>
                <w:sz w:val="22"/>
              </w:rPr>
            </w:pPr>
            <w:r>
              <w:rPr>
                <w:spacing w:val="-5"/>
                <w:sz w:val="22"/>
              </w:rPr>
              <w:t>49</w:t>
            </w:r>
          </w:p>
        </w:tc>
        <w:tc>
          <w:tcPr>
            <w:tcW w:w="1655" w:type="dxa"/>
          </w:tcPr>
          <w:p>
            <w:pPr>
              <w:pStyle w:val="TableParagraph"/>
              <w:ind w:right="25"/>
              <w:rPr>
                <w:sz w:val="22"/>
              </w:rPr>
            </w:pPr>
            <w:r>
              <w:rPr>
                <w:spacing w:val="-5"/>
                <w:sz w:val="22"/>
              </w:rPr>
              <w:t>44</w:t>
            </w:r>
          </w:p>
        </w:tc>
        <w:tc>
          <w:tcPr>
            <w:tcW w:w="2098" w:type="dxa"/>
          </w:tcPr>
          <w:p>
            <w:pPr>
              <w:pStyle w:val="TableParagraph"/>
              <w:ind w:left="570"/>
              <w:jc w:val="left"/>
              <w:rPr>
                <w:sz w:val="22"/>
              </w:rPr>
            </w:pPr>
            <w:r>
              <w:rPr>
                <w:sz w:val="22"/>
              </w:rPr>
              <w:t>40.3 </w:t>
            </w:r>
            <w:r>
              <w:rPr>
                <w:spacing w:val="-2"/>
                <w:sz w:val="22"/>
              </w:rPr>
              <w:t>(38.9)</w:t>
            </w:r>
          </w:p>
        </w:tc>
        <w:tc>
          <w:tcPr>
            <w:tcW w:w="1303" w:type="dxa"/>
          </w:tcPr>
          <w:p>
            <w:pPr>
              <w:pStyle w:val="TableParagraph"/>
              <w:ind w:left="79" w:right="2"/>
              <w:rPr>
                <w:sz w:val="22"/>
              </w:rPr>
            </w:pPr>
            <w:r>
              <w:rPr>
                <w:spacing w:val="-10"/>
                <w:sz w:val="22"/>
              </w:rPr>
              <w:t>S</w:t>
            </w:r>
          </w:p>
        </w:tc>
      </w:tr>
      <w:tr>
        <w:trPr>
          <w:trHeight w:val="332" w:hRule="atLeast"/>
        </w:trPr>
        <w:tc>
          <w:tcPr>
            <w:tcW w:w="765" w:type="dxa"/>
          </w:tcPr>
          <w:p>
            <w:pPr>
              <w:pStyle w:val="TableParagraph"/>
              <w:spacing w:before="0"/>
              <w:jc w:val="left"/>
              <w:rPr>
                <w:sz w:val="22"/>
              </w:rPr>
            </w:pPr>
          </w:p>
        </w:tc>
        <w:tc>
          <w:tcPr>
            <w:tcW w:w="2480" w:type="dxa"/>
          </w:tcPr>
          <w:p>
            <w:pPr>
              <w:pStyle w:val="TableParagraph"/>
              <w:spacing w:before="34"/>
              <w:ind w:left="199"/>
              <w:jc w:val="left"/>
              <w:rPr>
                <w:sz w:val="22"/>
              </w:rPr>
            </w:pPr>
            <w:r>
              <w:rPr>
                <w:sz w:val="22"/>
              </w:rPr>
              <w:t>SE</w:t>
            </w:r>
            <w:r>
              <w:rPr>
                <w:spacing w:val="-2"/>
                <w:sz w:val="22"/>
              </w:rPr>
              <w:t> </w:t>
            </w:r>
            <w:r>
              <w:rPr>
                <w:spacing w:val="-4"/>
                <w:sz w:val="22"/>
              </w:rPr>
              <w:t>(m)±</w:t>
            </w:r>
          </w:p>
        </w:tc>
        <w:tc>
          <w:tcPr>
            <w:tcW w:w="1790" w:type="dxa"/>
          </w:tcPr>
          <w:p>
            <w:pPr>
              <w:pStyle w:val="TableParagraph"/>
              <w:spacing w:before="0"/>
              <w:jc w:val="left"/>
              <w:rPr>
                <w:sz w:val="22"/>
              </w:rPr>
            </w:pPr>
          </w:p>
        </w:tc>
        <w:tc>
          <w:tcPr>
            <w:tcW w:w="1655" w:type="dxa"/>
          </w:tcPr>
          <w:p>
            <w:pPr>
              <w:pStyle w:val="TableParagraph"/>
              <w:spacing w:before="34"/>
              <w:ind w:left="2" w:right="25"/>
              <w:rPr>
                <w:sz w:val="22"/>
              </w:rPr>
            </w:pPr>
            <w:r>
              <w:rPr>
                <w:spacing w:val="-4"/>
                <w:sz w:val="22"/>
              </w:rPr>
              <w:t>2.43</w:t>
            </w:r>
          </w:p>
        </w:tc>
        <w:tc>
          <w:tcPr>
            <w:tcW w:w="2098" w:type="dxa"/>
          </w:tcPr>
          <w:p>
            <w:pPr>
              <w:pStyle w:val="TableParagraph"/>
              <w:spacing w:before="0"/>
              <w:jc w:val="left"/>
              <w:rPr>
                <w:sz w:val="22"/>
              </w:rPr>
            </w:pPr>
          </w:p>
        </w:tc>
        <w:tc>
          <w:tcPr>
            <w:tcW w:w="1303" w:type="dxa"/>
          </w:tcPr>
          <w:p>
            <w:pPr>
              <w:pStyle w:val="TableParagraph"/>
              <w:spacing w:before="0"/>
              <w:jc w:val="left"/>
              <w:rPr>
                <w:sz w:val="22"/>
              </w:rPr>
            </w:pPr>
          </w:p>
        </w:tc>
      </w:tr>
      <w:tr>
        <w:trPr>
          <w:trHeight w:val="333" w:hRule="atLeast"/>
        </w:trPr>
        <w:tc>
          <w:tcPr>
            <w:tcW w:w="765" w:type="dxa"/>
          </w:tcPr>
          <w:p>
            <w:pPr>
              <w:pStyle w:val="TableParagraph"/>
              <w:spacing w:before="0"/>
              <w:jc w:val="left"/>
              <w:rPr>
                <w:sz w:val="22"/>
              </w:rPr>
            </w:pPr>
          </w:p>
        </w:tc>
        <w:tc>
          <w:tcPr>
            <w:tcW w:w="2480" w:type="dxa"/>
          </w:tcPr>
          <w:p>
            <w:pPr>
              <w:pStyle w:val="TableParagraph"/>
              <w:ind w:left="199"/>
              <w:jc w:val="left"/>
              <w:rPr>
                <w:sz w:val="22"/>
              </w:rPr>
            </w:pPr>
            <w:r>
              <w:rPr>
                <w:spacing w:val="-5"/>
                <w:sz w:val="22"/>
              </w:rPr>
              <w:t>C.D</w:t>
            </w:r>
          </w:p>
        </w:tc>
        <w:tc>
          <w:tcPr>
            <w:tcW w:w="1790" w:type="dxa"/>
          </w:tcPr>
          <w:p>
            <w:pPr>
              <w:pStyle w:val="TableParagraph"/>
              <w:spacing w:before="0"/>
              <w:jc w:val="left"/>
              <w:rPr>
                <w:sz w:val="22"/>
              </w:rPr>
            </w:pPr>
          </w:p>
        </w:tc>
        <w:tc>
          <w:tcPr>
            <w:tcW w:w="1655" w:type="dxa"/>
          </w:tcPr>
          <w:p>
            <w:pPr>
              <w:pStyle w:val="TableParagraph"/>
              <w:ind w:left="2" w:right="25"/>
              <w:rPr>
                <w:sz w:val="22"/>
              </w:rPr>
            </w:pPr>
            <w:r>
              <w:rPr>
                <w:spacing w:val="-4"/>
                <w:sz w:val="22"/>
              </w:rPr>
              <w:t>6.90</w:t>
            </w:r>
          </w:p>
        </w:tc>
        <w:tc>
          <w:tcPr>
            <w:tcW w:w="2098" w:type="dxa"/>
          </w:tcPr>
          <w:p>
            <w:pPr>
              <w:pStyle w:val="TableParagraph"/>
              <w:spacing w:before="0"/>
              <w:jc w:val="left"/>
              <w:rPr>
                <w:sz w:val="22"/>
              </w:rPr>
            </w:pPr>
          </w:p>
        </w:tc>
        <w:tc>
          <w:tcPr>
            <w:tcW w:w="1303" w:type="dxa"/>
          </w:tcPr>
          <w:p>
            <w:pPr>
              <w:pStyle w:val="TableParagraph"/>
              <w:spacing w:before="0"/>
              <w:jc w:val="left"/>
              <w:rPr>
                <w:sz w:val="22"/>
              </w:rPr>
            </w:pPr>
          </w:p>
        </w:tc>
      </w:tr>
      <w:tr>
        <w:trPr>
          <w:trHeight w:val="327" w:hRule="atLeast"/>
        </w:trPr>
        <w:tc>
          <w:tcPr>
            <w:tcW w:w="765" w:type="dxa"/>
            <w:tcBorders>
              <w:bottom w:val="single" w:sz="8" w:space="0" w:color="000000"/>
            </w:tcBorders>
          </w:tcPr>
          <w:p>
            <w:pPr>
              <w:pStyle w:val="TableParagraph"/>
              <w:spacing w:before="0"/>
              <w:jc w:val="left"/>
              <w:rPr>
                <w:sz w:val="22"/>
              </w:rPr>
            </w:pPr>
          </w:p>
        </w:tc>
        <w:tc>
          <w:tcPr>
            <w:tcW w:w="2480" w:type="dxa"/>
            <w:tcBorders>
              <w:bottom w:val="single" w:sz="8" w:space="0" w:color="000000"/>
            </w:tcBorders>
          </w:tcPr>
          <w:p>
            <w:pPr>
              <w:pStyle w:val="TableParagraph"/>
              <w:ind w:left="199"/>
              <w:jc w:val="left"/>
              <w:rPr>
                <w:sz w:val="22"/>
              </w:rPr>
            </w:pPr>
            <w:r>
              <w:rPr>
                <w:spacing w:val="-5"/>
                <w:sz w:val="22"/>
              </w:rPr>
              <w:t>C.V</w:t>
            </w:r>
          </w:p>
        </w:tc>
        <w:tc>
          <w:tcPr>
            <w:tcW w:w="1790" w:type="dxa"/>
            <w:tcBorders>
              <w:bottom w:val="single" w:sz="8" w:space="0" w:color="000000"/>
            </w:tcBorders>
          </w:tcPr>
          <w:p>
            <w:pPr>
              <w:pStyle w:val="TableParagraph"/>
              <w:spacing w:before="0"/>
              <w:jc w:val="left"/>
              <w:rPr>
                <w:sz w:val="22"/>
              </w:rPr>
            </w:pPr>
          </w:p>
        </w:tc>
        <w:tc>
          <w:tcPr>
            <w:tcW w:w="1655" w:type="dxa"/>
            <w:tcBorders>
              <w:bottom w:val="single" w:sz="8" w:space="0" w:color="000000"/>
            </w:tcBorders>
          </w:tcPr>
          <w:p>
            <w:pPr>
              <w:pStyle w:val="TableParagraph"/>
              <w:ind w:left="2" w:right="25"/>
              <w:rPr>
                <w:sz w:val="22"/>
              </w:rPr>
            </w:pPr>
            <w:r>
              <w:rPr>
                <w:spacing w:val="-2"/>
                <w:sz w:val="22"/>
              </w:rPr>
              <w:t>10.48</w:t>
            </w:r>
          </w:p>
        </w:tc>
        <w:tc>
          <w:tcPr>
            <w:tcW w:w="2098" w:type="dxa"/>
            <w:tcBorders>
              <w:bottom w:val="single" w:sz="8" w:space="0" w:color="000000"/>
            </w:tcBorders>
          </w:tcPr>
          <w:p>
            <w:pPr>
              <w:pStyle w:val="TableParagraph"/>
              <w:spacing w:before="0"/>
              <w:jc w:val="left"/>
              <w:rPr>
                <w:sz w:val="22"/>
              </w:rPr>
            </w:pPr>
          </w:p>
        </w:tc>
        <w:tc>
          <w:tcPr>
            <w:tcW w:w="1303" w:type="dxa"/>
            <w:tcBorders>
              <w:bottom w:val="single" w:sz="8" w:space="0" w:color="000000"/>
            </w:tcBorders>
          </w:tcPr>
          <w:p>
            <w:pPr>
              <w:pStyle w:val="TableParagraph"/>
              <w:spacing w:before="0"/>
              <w:jc w:val="left"/>
              <w:rPr>
                <w:sz w:val="22"/>
              </w:rPr>
            </w:pPr>
          </w:p>
        </w:tc>
      </w:tr>
    </w:tbl>
    <w:p>
      <w:pPr>
        <w:pStyle w:val="BodyText"/>
        <w:spacing w:before="47"/>
        <w:ind w:left="0"/>
        <w:rPr>
          <w:b/>
        </w:rPr>
      </w:pPr>
    </w:p>
    <w:p>
      <w:pPr>
        <w:pStyle w:val="BodyText"/>
        <w:spacing w:line="249" w:lineRule="auto"/>
      </w:pPr>
      <w:r>
        <w:rPr>
          <w:color w:val="231F20"/>
        </w:rPr>
        <w:t>Note:</w:t>
      </w:r>
      <w:r>
        <w:rPr>
          <w:color w:val="231F20"/>
          <w:spacing w:val="-3"/>
        </w:rPr>
        <w:t> </w:t>
      </w:r>
      <w:r>
        <w:rPr>
          <w:color w:val="231F20"/>
        </w:rPr>
        <w:t>R=</w:t>
      </w:r>
      <w:r>
        <w:rPr>
          <w:color w:val="231F20"/>
          <w:spacing w:val="-3"/>
        </w:rPr>
        <w:t> </w:t>
      </w:r>
      <w:r>
        <w:rPr>
          <w:color w:val="231F20"/>
        </w:rPr>
        <w:t>Resistant,</w:t>
      </w:r>
      <w:r>
        <w:rPr>
          <w:color w:val="231F20"/>
          <w:spacing w:val="-3"/>
        </w:rPr>
        <w:t> </w:t>
      </w:r>
      <w:r>
        <w:rPr>
          <w:color w:val="231F20"/>
        </w:rPr>
        <w:t>MR=</w:t>
      </w:r>
      <w:r>
        <w:rPr>
          <w:color w:val="231F20"/>
          <w:spacing w:val="-3"/>
        </w:rPr>
        <w:t> </w:t>
      </w:r>
      <w:r>
        <w:rPr>
          <w:color w:val="231F20"/>
        </w:rPr>
        <w:t>Moderately</w:t>
      </w:r>
      <w:r>
        <w:rPr>
          <w:color w:val="231F20"/>
          <w:spacing w:val="-3"/>
        </w:rPr>
        <w:t> </w:t>
      </w:r>
      <w:r>
        <w:rPr>
          <w:color w:val="231F20"/>
        </w:rPr>
        <w:t>Resistant,</w:t>
      </w:r>
      <w:r>
        <w:rPr>
          <w:color w:val="231F20"/>
          <w:spacing w:val="-3"/>
        </w:rPr>
        <w:t> </w:t>
      </w:r>
      <w:r>
        <w:rPr>
          <w:color w:val="231F20"/>
        </w:rPr>
        <w:t>MS=</w:t>
      </w:r>
      <w:r>
        <w:rPr>
          <w:color w:val="231F20"/>
          <w:spacing w:val="-3"/>
        </w:rPr>
        <w:t> </w:t>
      </w:r>
      <w:r>
        <w:rPr>
          <w:color w:val="231F20"/>
        </w:rPr>
        <w:t>Moderately</w:t>
      </w:r>
      <w:r>
        <w:rPr>
          <w:color w:val="231F20"/>
          <w:spacing w:val="-3"/>
        </w:rPr>
        <w:t> </w:t>
      </w:r>
      <w:r>
        <w:rPr>
          <w:color w:val="231F20"/>
        </w:rPr>
        <w:t>susceptible,</w:t>
      </w:r>
      <w:r>
        <w:rPr>
          <w:color w:val="231F20"/>
          <w:spacing w:val="-3"/>
        </w:rPr>
        <w:t> </w:t>
      </w:r>
      <w:r>
        <w:rPr>
          <w:color w:val="231F20"/>
        </w:rPr>
        <w:t>S=</w:t>
      </w:r>
      <w:r>
        <w:rPr>
          <w:color w:val="231F20"/>
          <w:spacing w:val="-3"/>
        </w:rPr>
        <w:t> </w:t>
      </w:r>
      <w:r>
        <w:rPr>
          <w:color w:val="231F20"/>
        </w:rPr>
        <w:t>Susceptible,</w:t>
      </w:r>
      <w:r>
        <w:rPr>
          <w:color w:val="231F20"/>
          <w:spacing w:val="-3"/>
        </w:rPr>
        <w:t> </w:t>
      </w:r>
      <w:r>
        <w:rPr>
          <w:color w:val="231F20"/>
        </w:rPr>
        <w:t>HS=Highly </w:t>
      </w:r>
      <w:r>
        <w:rPr>
          <w:color w:val="231F20"/>
          <w:spacing w:val="-2"/>
        </w:rPr>
        <w:t>Susceptible;</w:t>
      </w:r>
    </w:p>
    <w:p>
      <w:pPr>
        <w:pStyle w:val="BodyText"/>
        <w:spacing w:before="2"/>
      </w:pPr>
      <w:r>
        <w:rPr>
          <w:color w:val="231F20"/>
        </w:rPr>
        <w:t>*</w:t>
      </w:r>
      <w:r>
        <w:rPr>
          <w:color w:val="231F20"/>
          <w:spacing w:val="-2"/>
        </w:rPr>
        <w:t> </w:t>
      </w:r>
      <w:r>
        <w:rPr>
          <w:color w:val="231F20"/>
        </w:rPr>
        <w:t>Mean</w:t>
      </w:r>
      <w:r>
        <w:rPr>
          <w:color w:val="231F20"/>
          <w:spacing w:val="-1"/>
        </w:rPr>
        <w:t> </w:t>
      </w:r>
      <w:r>
        <w:rPr>
          <w:color w:val="231F20"/>
        </w:rPr>
        <w:t>of</w:t>
      </w:r>
      <w:r>
        <w:rPr>
          <w:color w:val="231F20"/>
          <w:spacing w:val="-1"/>
        </w:rPr>
        <w:t> </w:t>
      </w:r>
      <w:r>
        <w:rPr>
          <w:color w:val="231F20"/>
        </w:rPr>
        <w:t>two</w:t>
      </w:r>
      <w:r>
        <w:rPr>
          <w:color w:val="231F20"/>
          <w:spacing w:val="-2"/>
        </w:rPr>
        <w:t> </w:t>
      </w:r>
      <w:r>
        <w:rPr>
          <w:color w:val="231F20"/>
        </w:rPr>
        <w:t>replications.</w:t>
      </w:r>
      <w:r>
        <w:rPr>
          <w:color w:val="231F20"/>
          <w:spacing w:val="-6"/>
        </w:rPr>
        <w:t> </w:t>
      </w:r>
      <w:r>
        <w:rPr>
          <w:color w:val="231F20"/>
        </w:rPr>
        <w:t>The</w:t>
      </w:r>
      <w:r>
        <w:rPr>
          <w:color w:val="231F20"/>
          <w:spacing w:val="-1"/>
        </w:rPr>
        <w:t> </w:t>
      </w:r>
      <w:r>
        <w:rPr>
          <w:color w:val="231F20"/>
        </w:rPr>
        <w:t>values</w:t>
      </w:r>
      <w:r>
        <w:rPr>
          <w:color w:val="231F20"/>
          <w:spacing w:val="-2"/>
        </w:rPr>
        <w:t> </w:t>
      </w:r>
      <w:r>
        <w:rPr>
          <w:color w:val="231F20"/>
        </w:rPr>
        <w:t>in</w:t>
      </w:r>
      <w:r>
        <w:rPr>
          <w:color w:val="231F20"/>
          <w:spacing w:val="-1"/>
        </w:rPr>
        <w:t> </w:t>
      </w:r>
      <w:r>
        <w:rPr>
          <w:color w:val="231F20"/>
        </w:rPr>
        <w:t>parenthesis</w:t>
      </w:r>
      <w:r>
        <w:rPr>
          <w:color w:val="231F20"/>
          <w:spacing w:val="-3"/>
        </w:rPr>
        <w:t> </w:t>
      </w:r>
      <w:r>
        <w:rPr>
          <w:color w:val="231F20"/>
        </w:rPr>
        <w:t>are</w:t>
      </w:r>
      <w:r>
        <w:rPr>
          <w:color w:val="231F20"/>
          <w:spacing w:val="-1"/>
        </w:rPr>
        <w:t> </w:t>
      </w:r>
      <w:r>
        <w:rPr>
          <w:color w:val="231F20"/>
        </w:rPr>
        <w:t>arcsine</w:t>
      </w:r>
      <w:r>
        <w:rPr>
          <w:color w:val="231F20"/>
          <w:spacing w:val="-1"/>
        </w:rPr>
        <w:t> </w:t>
      </w:r>
      <w:r>
        <w:rPr>
          <w:color w:val="231F20"/>
        </w:rPr>
        <w:t>transformed</w:t>
      </w:r>
      <w:r>
        <w:rPr>
          <w:color w:val="231F20"/>
          <w:spacing w:val="-1"/>
        </w:rPr>
        <w:t> </w:t>
      </w:r>
      <w:r>
        <w:rPr>
          <w:color w:val="231F20"/>
          <w:spacing w:val="-2"/>
        </w:rPr>
        <w:t>values</w:t>
      </w:r>
    </w:p>
    <w:p>
      <w:pPr>
        <w:pStyle w:val="BodyText"/>
        <w:spacing w:after="0"/>
        <w:sectPr>
          <w:pgSz w:w="12480" w:h="15880"/>
          <w:pgMar w:header="0" w:footer="988" w:top="1180" w:bottom="1180" w:left="1133" w:right="1133"/>
        </w:sectPr>
      </w:pPr>
    </w:p>
    <w:p>
      <w:pPr>
        <w:pStyle w:val="BodyText"/>
        <w:spacing w:before="132"/>
        <w:ind w:left="0"/>
      </w:pPr>
    </w:p>
    <w:p>
      <w:pPr>
        <w:spacing w:before="0"/>
        <w:ind w:left="1" w:right="0" w:firstLine="0"/>
        <w:jc w:val="left"/>
        <w:rPr>
          <w:b/>
          <w:sz w:val="22"/>
        </w:rPr>
      </w:pPr>
      <w:r>
        <w:rPr>
          <w:b/>
          <w:color w:val="231F20"/>
          <w:sz w:val="22"/>
        </w:rPr>
        <w:t>Table</w:t>
      </w:r>
      <w:r>
        <w:rPr>
          <w:b/>
          <w:color w:val="231F20"/>
          <w:spacing w:val="-7"/>
          <w:sz w:val="22"/>
        </w:rPr>
        <w:t> </w:t>
      </w:r>
      <w:r>
        <w:rPr>
          <w:b/>
          <w:color w:val="231F20"/>
          <w:sz w:val="22"/>
        </w:rPr>
        <w:t>2.</w:t>
      </w:r>
      <w:r>
        <w:rPr>
          <w:b/>
          <w:color w:val="231F20"/>
          <w:spacing w:val="-5"/>
          <w:sz w:val="22"/>
        </w:rPr>
        <w:t> </w:t>
      </w:r>
      <w:r>
        <w:rPr>
          <w:b/>
          <w:color w:val="231F20"/>
          <w:sz w:val="22"/>
        </w:rPr>
        <w:t>Categorization</w:t>
      </w:r>
      <w:r>
        <w:rPr>
          <w:b/>
          <w:color w:val="231F20"/>
          <w:spacing w:val="-5"/>
          <w:sz w:val="22"/>
        </w:rPr>
        <w:t> </w:t>
      </w:r>
      <w:r>
        <w:rPr>
          <w:b/>
          <w:color w:val="231F20"/>
          <w:sz w:val="22"/>
        </w:rPr>
        <w:t>of</w:t>
      </w:r>
      <w:r>
        <w:rPr>
          <w:b/>
          <w:color w:val="231F20"/>
          <w:spacing w:val="-4"/>
          <w:sz w:val="22"/>
        </w:rPr>
        <w:t> </w:t>
      </w:r>
      <w:r>
        <w:rPr>
          <w:b/>
          <w:color w:val="231F20"/>
          <w:sz w:val="22"/>
        </w:rPr>
        <w:t>sesame</w:t>
      </w:r>
      <w:r>
        <w:rPr>
          <w:b/>
          <w:color w:val="231F20"/>
          <w:spacing w:val="-5"/>
          <w:sz w:val="22"/>
        </w:rPr>
        <w:t> </w:t>
      </w:r>
      <w:r>
        <w:rPr>
          <w:b/>
          <w:color w:val="231F20"/>
          <w:sz w:val="22"/>
        </w:rPr>
        <w:t>genotypes</w:t>
      </w:r>
      <w:r>
        <w:rPr>
          <w:b/>
          <w:color w:val="231F20"/>
          <w:spacing w:val="-5"/>
          <w:sz w:val="22"/>
        </w:rPr>
        <w:t> </w:t>
      </w:r>
      <w:r>
        <w:rPr>
          <w:b/>
          <w:color w:val="231F20"/>
          <w:sz w:val="22"/>
        </w:rPr>
        <w:t>based</w:t>
      </w:r>
      <w:r>
        <w:rPr>
          <w:b/>
          <w:color w:val="231F20"/>
          <w:spacing w:val="-6"/>
          <w:sz w:val="22"/>
        </w:rPr>
        <w:t> </w:t>
      </w:r>
      <w:r>
        <w:rPr>
          <w:b/>
          <w:color w:val="231F20"/>
          <w:sz w:val="22"/>
        </w:rPr>
        <w:t>on</w:t>
      </w:r>
      <w:r>
        <w:rPr>
          <w:b/>
          <w:color w:val="231F20"/>
          <w:spacing w:val="-5"/>
          <w:sz w:val="22"/>
        </w:rPr>
        <w:t> </w:t>
      </w:r>
      <w:r>
        <w:rPr>
          <w:b/>
          <w:color w:val="231F20"/>
          <w:sz w:val="22"/>
        </w:rPr>
        <w:t>their</w:t>
      </w:r>
      <w:r>
        <w:rPr>
          <w:b/>
          <w:color w:val="231F20"/>
          <w:spacing w:val="-9"/>
          <w:sz w:val="22"/>
        </w:rPr>
        <w:t> </w:t>
      </w:r>
      <w:r>
        <w:rPr>
          <w:b/>
          <w:color w:val="231F20"/>
          <w:sz w:val="22"/>
        </w:rPr>
        <w:t>reaction</w:t>
      </w:r>
      <w:r>
        <w:rPr>
          <w:b/>
          <w:color w:val="231F20"/>
          <w:spacing w:val="-5"/>
          <w:sz w:val="22"/>
        </w:rPr>
        <w:t> </w:t>
      </w:r>
      <w:r>
        <w:rPr>
          <w:b/>
          <w:color w:val="231F20"/>
          <w:sz w:val="22"/>
        </w:rPr>
        <w:t>to</w:t>
      </w:r>
      <w:r>
        <w:rPr>
          <w:b/>
          <w:color w:val="231F20"/>
          <w:spacing w:val="-4"/>
          <w:sz w:val="22"/>
        </w:rPr>
        <w:t> </w:t>
      </w:r>
      <w:r>
        <w:rPr>
          <w:b/>
          <w:color w:val="231F20"/>
          <w:sz w:val="22"/>
        </w:rPr>
        <w:t>stem</w:t>
      </w:r>
      <w:r>
        <w:rPr>
          <w:b/>
          <w:color w:val="231F20"/>
          <w:spacing w:val="-5"/>
          <w:sz w:val="22"/>
        </w:rPr>
        <w:t> </w:t>
      </w:r>
      <w:r>
        <w:rPr>
          <w:b/>
          <w:color w:val="231F20"/>
          <w:sz w:val="22"/>
        </w:rPr>
        <w:t>and</w:t>
      </w:r>
      <w:r>
        <w:rPr>
          <w:b/>
          <w:color w:val="231F20"/>
          <w:spacing w:val="-5"/>
          <w:sz w:val="22"/>
        </w:rPr>
        <w:t> </w:t>
      </w:r>
      <w:r>
        <w:rPr>
          <w:b/>
          <w:color w:val="231F20"/>
          <w:sz w:val="22"/>
        </w:rPr>
        <w:t>root</w:t>
      </w:r>
      <w:r>
        <w:rPr>
          <w:b/>
          <w:color w:val="231F20"/>
          <w:spacing w:val="-5"/>
          <w:sz w:val="22"/>
        </w:rPr>
        <w:t> </w:t>
      </w:r>
      <w:r>
        <w:rPr>
          <w:b/>
          <w:color w:val="231F20"/>
          <w:sz w:val="22"/>
        </w:rPr>
        <w:t>rot</w:t>
      </w:r>
      <w:r>
        <w:rPr>
          <w:b/>
          <w:color w:val="231F20"/>
          <w:spacing w:val="-4"/>
          <w:sz w:val="22"/>
        </w:rPr>
        <w:t> </w:t>
      </w:r>
      <w:r>
        <w:rPr>
          <w:b/>
          <w:color w:val="231F20"/>
          <w:spacing w:val="-2"/>
          <w:sz w:val="22"/>
        </w:rPr>
        <w:t>disease</w:t>
      </w:r>
    </w:p>
    <w:p>
      <w:pPr>
        <w:pStyle w:val="BodyText"/>
        <w:ind w:left="0"/>
        <w:rPr>
          <w:b/>
          <w:sz w:val="7"/>
        </w:rPr>
      </w:pPr>
      <w:r>
        <w:rPr>
          <w:b/>
          <w:sz w:val="7"/>
        </w:rPr>
        <mc:AlternateContent>
          <mc:Choice Requires="wps">
            <w:drawing>
              <wp:anchor distT="0" distB="0" distL="0" distR="0" allowOverlap="1" layoutInCell="1" locked="0" behindDoc="1" simplePos="0" relativeHeight="487588864">
                <wp:simplePos x="0" y="0"/>
                <wp:positionH relativeFrom="page">
                  <wp:posOffset>755497</wp:posOffset>
                </wp:positionH>
                <wp:positionV relativeFrom="paragraph">
                  <wp:posOffset>66624</wp:posOffset>
                </wp:positionV>
                <wp:extent cx="6424295" cy="1270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6424295" cy="12700"/>
                        </a:xfrm>
                        <a:custGeom>
                          <a:avLst/>
                          <a:gdLst/>
                          <a:ahLst/>
                          <a:cxnLst/>
                          <a:rect l="l" t="t" r="r" b="b"/>
                          <a:pathLst>
                            <a:path w="6424295" h="12700">
                              <a:moveTo>
                                <a:pt x="403313" y="0"/>
                              </a:moveTo>
                              <a:lnTo>
                                <a:pt x="391096" y="0"/>
                              </a:lnTo>
                              <a:lnTo>
                                <a:pt x="0" y="0"/>
                              </a:lnTo>
                              <a:lnTo>
                                <a:pt x="0" y="12192"/>
                              </a:lnTo>
                              <a:lnTo>
                                <a:pt x="391096" y="12192"/>
                              </a:lnTo>
                              <a:lnTo>
                                <a:pt x="403313" y="12192"/>
                              </a:lnTo>
                              <a:lnTo>
                                <a:pt x="403313" y="0"/>
                              </a:lnTo>
                              <a:close/>
                            </a:path>
                            <a:path w="6424295" h="12700">
                              <a:moveTo>
                                <a:pt x="1002182" y="0"/>
                              </a:moveTo>
                              <a:lnTo>
                                <a:pt x="989965" y="0"/>
                              </a:lnTo>
                              <a:lnTo>
                                <a:pt x="403326" y="0"/>
                              </a:lnTo>
                              <a:lnTo>
                                <a:pt x="403326" y="12192"/>
                              </a:lnTo>
                              <a:lnTo>
                                <a:pt x="989965" y="12192"/>
                              </a:lnTo>
                              <a:lnTo>
                                <a:pt x="1002182" y="12192"/>
                              </a:lnTo>
                              <a:lnTo>
                                <a:pt x="1002182" y="0"/>
                              </a:lnTo>
                              <a:close/>
                            </a:path>
                            <a:path w="6424295" h="12700">
                              <a:moveTo>
                                <a:pt x="6424104" y="0"/>
                              </a:moveTo>
                              <a:lnTo>
                                <a:pt x="6424104" y="0"/>
                              </a:lnTo>
                              <a:lnTo>
                                <a:pt x="1002195" y="0"/>
                              </a:lnTo>
                              <a:lnTo>
                                <a:pt x="1002195" y="12192"/>
                              </a:lnTo>
                              <a:lnTo>
                                <a:pt x="6424104" y="12192"/>
                              </a:lnTo>
                              <a:lnTo>
                                <a:pt x="6424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59.488003pt;margin-top:5.246021pt;width:505.85pt;height:1pt;mso-position-horizontal-relative:page;mso-position-vertical-relative:paragraph;z-index:-15727616;mso-wrap-distance-left:0;mso-wrap-distance-right:0" id="docshape8" coordorigin="1190,105" coordsize="10117,20" path="m1825,105l1806,105,1190,105,1190,124,1806,124,1825,124,1825,105xm2768,105l2749,105,1825,105,1825,124,2749,124,2768,124,2768,105xm11306,105l6418,105,6398,105,5215,105,5196,105,3916,105,3896,105,3896,105,2768,105,2768,124,3896,124,3896,124,3916,124,5196,124,5215,124,6398,124,6418,124,11306,124,11306,105xe" filled="true" fillcolor="#000000" stroked="false">
                <v:path arrowok="t"/>
                <v:fill type="solid"/>
                <w10:wrap type="topAndBottom"/>
              </v:shape>
            </w:pict>
          </mc:Fallback>
        </mc:AlternateContent>
      </w:r>
    </w:p>
    <w:p>
      <w:pPr>
        <w:spacing w:before="80" w:after="8"/>
        <w:ind w:left="1827" w:right="0" w:firstLine="0"/>
        <w:jc w:val="left"/>
        <w:rPr>
          <w:b/>
          <w:sz w:val="22"/>
        </w:rPr>
      </w:pPr>
      <w:r>
        <w:rPr>
          <w:b/>
          <w:spacing w:val="-2"/>
          <w:sz w:val="22"/>
        </w:rPr>
        <w:t>Percent</w:t>
      </w:r>
    </w:p>
    <w:tbl>
      <w:tblPr>
        <w:tblW w:w="0" w:type="auto"/>
        <w:jc w:val="left"/>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1"/>
        <w:gridCol w:w="961"/>
        <w:gridCol w:w="1147"/>
        <w:gridCol w:w="1292"/>
        <w:gridCol w:w="1174"/>
        <w:gridCol w:w="4940"/>
      </w:tblGrid>
      <w:tr>
        <w:trPr>
          <w:trHeight w:val="832" w:hRule="atLeast"/>
        </w:trPr>
        <w:tc>
          <w:tcPr>
            <w:tcW w:w="611" w:type="dxa"/>
            <w:tcBorders>
              <w:bottom w:val="single" w:sz="8" w:space="0" w:color="000000"/>
            </w:tcBorders>
          </w:tcPr>
          <w:p>
            <w:pPr>
              <w:pStyle w:val="TableParagraph"/>
              <w:spacing w:line="244" w:lineRule="exact" w:before="0"/>
              <w:ind w:left="19"/>
              <w:rPr>
                <w:b/>
                <w:sz w:val="22"/>
              </w:rPr>
            </w:pPr>
            <w:r>
              <w:rPr>
                <w:b/>
                <w:spacing w:val="-5"/>
                <w:sz w:val="22"/>
              </w:rPr>
              <w:t>S.</w:t>
            </w:r>
          </w:p>
          <w:p>
            <w:pPr>
              <w:pStyle w:val="TableParagraph"/>
              <w:spacing w:before="1"/>
              <w:ind w:left="19" w:right="3"/>
              <w:rPr>
                <w:b/>
                <w:sz w:val="22"/>
              </w:rPr>
            </w:pPr>
            <w:r>
              <w:rPr>
                <w:b/>
                <w:spacing w:val="-5"/>
                <w:sz w:val="22"/>
              </w:rPr>
              <w:t>No.</w:t>
            </w:r>
          </w:p>
        </w:tc>
        <w:tc>
          <w:tcPr>
            <w:tcW w:w="961" w:type="dxa"/>
            <w:tcBorders>
              <w:bottom w:val="single" w:sz="8" w:space="0" w:color="000000"/>
            </w:tcBorders>
          </w:tcPr>
          <w:p>
            <w:pPr>
              <w:pStyle w:val="TableParagraph"/>
              <w:spacing w:line="242" w:lineRule="auto" w:before="0"/>
              <w:ind w:left="238" w:right="124" w:hanging="104"/>
              <w:jc w:val="left"/>
              <w:rPr>
                <w:b/>
                <w:sz w:val="22"/>
              </w:rPr>
            </w:pPr>
            <w:r>
              <w:rPr>
                <w:b/>
                <w:spacing w:val="-2"/>
                <w:sz w:val="22"/>
              </w:rPr>
              <w:t>Disease score</w:t>
            </w:r>
          </w:p>
        </w:tc>
        <w:tc>
          <w:tcPr>
            <w:tcW w:w="1147" w:type="dxa"/>
            <w:tcBorders>
              <w:bottom w:val="single" w:sz="8" w:space="0" w:color="000000"/>
            </w:tcBorders>
          </w:tcPr>
          <w:p>
            <w:pPr>
              <w:pStyle w:val="TableParagraph"/>
              <w:spacing w:line="242" w:lineRule="auto" w:before="0"/>
              <w:ind w:left="126" w:right="132" w:hanging="1"/>
              <w:rPr>
                <w:b/>
                <w:sz w:val="22"/>
              </w:rPr>
            </w:pPr>
            <w:r>
              <w:rPr>
                <w:b/>
                <w:spacing w:val="-2"/>
                <w:sz w:val="22"/>
              </w:rPr>
              <w:t>disease incidence </w:t>
            </w:r>
            <w:r>
              <w:rPr>
                <w:b/>
                <w:spacing w:val="-4"/>
                <w:sz w:val="22"/>
              </w:rPr>
              <w:t>(%)</w:t>
            </w:r>
          </w:p>
        </w:tc>
        <w:tc>
          <w:tcPr>
            <w:tcW w:w="1292" w:type="dxa"/>
            <w:tcBorders>
              <w:bottom w:val="single" w:sz="8" w:space="0" w:color="000000"/>
            </w:tcBorders>
          </w:tcPr>
          <w:p>
            <w:pPr>
              <w:pStyle w:val="TableParagraph"/>
              <w:spacing w:before="118"/>
              <w:ind w:left="1" w:right="1"/>
              <w:rPr>
                <w:b/>
                <w:sz w:val="22"/>
              </w:rPr>
            </w:pPr>
            <w:r>
              <w:rPr>
                <w:b/>
                <w:spacing w:val="-2"/>
                <w:sz w:val="22"/>
              </w:rPr>
              <w:t>Reaction</w:t>
            </w:r>
          </w:p>
        </w:tc>
        <w:tc>
          <w:tcPr>
            <w:tcW w:w="1174" w:type="dxa"/>
            <w:tcBorders>
              <w:bottom w:val="single" w:sz="8" w:space="0" w:color="000000"/>
            </w:tcBorders>
          </w:tcPr>
          <w:p>
            <w:pPr>
              <w:pStyle w:val="TableParagraph"/>
              <w:spacing w:line="242" w:lineRule="auto" w:before="0"/>
              <w:ind w:left="136" w:firstLine="185"/>
              <w:jc w:val="left"/>
              <w:rPr>
                <w:b/>
                <w:sz w:val="22"/>
              </w:rPr>
            </w:pPr>
            <w:r>
              <w:rPr>
                <w:b/>
                <w:sz w:val="22"/>
              </w:rPr>
              <w:t>No. of </w:t>
            </w:r>
            <w:r>
              <w:rPr>
                <w:b/>
                <w:spacing w:val="-2"/>
                <w:sz w:val="22"/>
              </w:rPr>
              <w:t>genotypes</w:t>
            </w:r>
          </w:p>
        </w:tc>
        <w:tc>
          <w:tcPr>
            <w:tcW w:w="4940" w:type="dxa"/>
            <w:tcBorders>
              <w:bottom w:val="single" w:sz="8" w:space="0" w:color="000000"/>
            </w:tcBorders>
          </w:tcPr>
          <w:p>
            <w:pPr>
              <w:pStyle w:val="TableParagraph"/>
              <w:spacing w:before="118"/>
              <w:ind w:left="29"/>
              <w:rPr>
                <w:b/>
                <w:sz w:val="22"/>
              </w:rPr>
            </w:pPr>
            <w:r>
              <w:rPr>
                <w:b/>
                <w:spacing w:val="-2"/>
                <w:sz w:val="22"/>
              </w:rPr>
              <w:t>Genotypes</w:t>
            </w:r>
          </w:p>
        </w:tc>
      </w:tr>
      <w:tr>
        <w:trPr>
          <w:trHeight w:val="670" w:hRule="atLeast"/>
        </w:trPr>
        <w:tc>
          <w:tcPr>
            <w:tcW w:w="611" w:type="dxa"/>
            <w:tcBorders>
              <w:top w:val="single" w:sz="8" w:space="0" w:color="000000"/>
            </w:tcBorders>
          </w:tcPr>
          <w:p>
            <w:pPr>
              <w:pStyle w:val="TableParagraph"/>
              <w:spacing w:before="80"/>
              <w:ind w:left="19" w:right="3"/>
              <w:rPr>
                <w:sz w:val="22"/>
              </w:rPr>
            </w:pPr>
            <w:r>
              <w:rPr>
                <w:spacing w:val="-5"/>
                <w:sz w:val="22"/>
              </w:rPr>
              <w:t>1.</w:t>
            </w:r>
          </w:p>
        </w:tc>
        <w:tc>
          <w:tcPr>
            <w:tcW w:w="961" w:type="dxa"/>
            <w:tcBorders>
              <w:top w:val="single" w:sz="8" w:space="0" w:color="000000"/>
            </w:tcBorders>
          </w:tcPr>
          <w:p>
            <w:pPr>
              <w:pStyle w:val="TableParagraph"/>
              <w:spacing w:before="80"/>
              <w:ind w:left="6"/>
              <w:rPr>
                <w:sz w:val="22"/>
              </w:rPr>
            </w:pPr>
            <w:r>
              <w:rPr>
                <w:spacing w:val="-10"/>
                <w:sz w:val="22"/>
              </w:rPr>
              <w:t>1</w:t>
            </w:r>
          </w:p>
        </w:tc>
        <w:tc>
          <w:tcPr>
            <w:tcW w:w="1147" w:type="dxa"/>
            <w:tcBorders>
              <w:top w:val="single" w:sz="8" w:space="0" w:color="000000"/>
            </w:tcBorders>
          </w:tcPr>
          <w:p>
            <w:pPr>
              <w:pStyle w:val="TableParagraph"/>
              <w:spacing w:before="80"/>
              <w:ind w:right="11"/>
              <w:rPr>
                <w:sz w:val="22"/>
              </w:rPr>
            </w:pPr>
            <w:r>
              <w:rPr>
                <w:spacing w:val="-2"/>
                <w:sz w:val="22"/>
              </w:rPr>
              <w:t>1-</w:t>
            </w:r>
            <w:r>
              <w:rPr>
                <w:spacing w:val="-5"/>
                <w:sz w:val="22"/>
              </w:rPr>
              <w:t>10</w:t>
            </w:r>
          </w:p>
        </w:tc>
        <w:tc>
          <w:tcPr>
            <w:tcW w:w="1292" w:type="dxa"/>
            <w:tcBorders>
              <w:top w:val="single" w:sz="8" w:space="0" w:color="000000"/>
            </w:tcBorders>
          </w:tcPr>
          <w:p>
            <w:pPr>
              <w:pStyle w:val="TableParagraph"/>
              <w:spacing w:before="80"/>
              <w:ind w:right="1"/>
              <w:rPr>
                <w:sz w:val="22"/>
              </w:rPr>
            </w:pPr>
            <w:r>
              <w:rPr>
                <w:spacing w:val="-2"/>
                <w:sz w:val="22"/>
              </w:rPr>
              <w:t>Resistant</w:t>
            </w:r>
          </w:p>
        </w:tc>
        <w:tc>
          <w:tcPr>
            <w:tcW w:w="1174" w:type="dxa"/>
            <w:tcBorders>
              <w:top w:val="single" w:sz="8" w:space="0" w:color="000000"/>
            </w:tcBorders>
          </w:tcPr>
          <w:p>
            <w:pPr>
              <w:pStyle w:val="TableParagraph"/>
              <w:spacing w:before="80"/>
              <w:ind w:left="32"/>
              <w:rPr>
                <w:sz w:val="22"/>
              </w:rPr>
            </w:pPr>
            <w:r>
              <w:rPr>
                <w:spacing w:val="-10"/>
                <w:sz w:val="22"/>
              </w:rPr>
              <w:t>8</w:t>
            </w:r>
          </w:p>
        </w:tc>
        <w:tc>
          <w:tcPr>
            <w:tcW w:w="4940" w:type="dxa"/>
            <w:tcBorders>
              <w:top w:val="single" w:sz="8" w:space="0" w:color="000000"/>
            </w:tcBorders>
          </w:tcPr>
          <w:p>
            <w:pPr>
              <w:pStyle w:val="TableParagraph"/>
              <w:spacing w:before="80"/>
              <w:ind w:left="103" w:right="980"/>
              <w:jc w:val="left"/>
              <w:rPr>
                <w:sz w:val="22"/>
              </w:rPr>
            </w:pPr>
            <w:r>
              <w:rPr>
                <w:sz w:val="22"/>
              </w:rPr>
              <w:t>YLM-161,</w:t>
            </w:r>
            <w:r>
              <w:rPr>
                <w:spacing w:val="-9"/>
                <w:sz w:val="22"/>
              </w:rPr>
              <w:t> </w:t>
            </w:r>
            <w:r>
              <w:rPr>
                <w:sz w:val="22"/>
              </w:rPr>
              <w:t>TPTS-40,</w:t>
            </w:r>
            <w:r>
              <w:rPr>
                <w:spacing w:val="-9"/>
                <w:sz w:val="22"/>
              </w:rPr>
              <w:t> </w:t>
            </w:r>
            <w:r>
              <w:rPr>
                <w:sz w:val="22"/>
              </w:rPr>
              <w:t>Madhavi,</w:t>
            </w:r>
            <w:r>
              <w:rPr>
                <w:spacing w:val="-9"/>
                <w:sz w:val="22"/>
              </w:rPr>
              <w:t> </w:t>
            </w:r>
            <w:r>
              <w:rPr>
                <w:sz w:val="22"/>
              </w:rPr>
              <w:t>VS-16-009, VS-20-008, VSP-16, Nirmala, GT-10</w:t>
            </w:r>
          </w:p>
        </w:tc>
      </w:tr>
      <w:tr>
        <w:trPr>
          <w:trHeight w:val="1171" w:hRule="atLeast"/>
        </w:trPr>
        <w:tc>
          <w:tcPr>
            <w:tcW w:w="611" w:type="dxa"/>
          </w:tcPr>
          <w:p>
            <w:pPr>
              <w:pStyle w:val="TableParagraph"/>
              <w:spacing w:before="74"/>
              <w:ind w:left="19" w:right="3"/>
              <w:rPr>
                <w:sz w:val="22"/>
              </w:rPr>
            </w:pPr>
            <w:r>
              <w:rPr>
                <w:spacing w:val="-5"/>
                <w:sz w:val="22"/>
              </w:rPr>
              <w:t>2.</w:t>
            </w:r>
          </w:p>
        </w:tc>
        <w:tc>
          <w:tcPr>
            <w:tcW w:w="961" w:type="dxa"/>
          </w:tcPr>
          <w:p>
            <w:pPr>
              <w:pStyle w:val="TableParagraph"/>
              <w:spacing w:before="74"/>
              <w:ind w:left="6"/>
              <w:rPr>
                <w:sz w:val="22"/>
              </w:rPr>
            </w:pPr>
            <w:r>
              <w:rPr>
                <w:spacing w:val="-10"/>
                <w:sz w:val="22"/>
              </w:rPr>
              <w:t>3</w:t>
            </w:r>
          </w:p>
        </w:tc>
        <w:tc>
          <w:tcPr>
            <w:tcW w:w="1147" w:type="dxa"/>
          </w:tcPr>
          <w:p>
            <w:pPr>
              <w:pStyle w:val="TableParagraph"/>
              <w:spacing w:before="74"/>
              <w:ind w:right="11"/>
              <w:rPr>
                <w:sz w:val="22"/>
              </w:rPr>
            </w:pPr>
            <w:r>
              <w:rPr>
                <w:spacing w:val="-2"/>
                <w:sz w:val="22"/>
              </w:rPr>
              <w:t>11-</w:t>
            </w:r>
            <w:r>
              <w:rPr>
                <w:spacing w:val="-7"/>
                <w:sz w:val="22"/>
              </w:rPr>
              <w:t>20</w:t>
            </w:r>
          </w:p>
        </w:tc>
        <w:tc>
          <w:tcPr>
            <w:tcW w:w="1292" w:type="dxa"/>
          </w:tcPr>
          <w:p>
            <w:pPr>
              <w:pStyle w:val="TableParagraph"/>
              <w:spacing w:before="74"/>
              <w:ind w:left="276" w:hanging="142"/>
              <w:jc w:val="left"/>
              <w:rPr>
                <w:sz w:val="22"/>
              </w:rPr>
            </w:pPr>
            <w:r>
              <w:rPr>
                <w:spacing w:val="-2"/>
                <w:sz w:val="22"/>
              </w:rPr>
              <w:t>Moderately resistant</w:t>
            </w:r>
          </w:p>
        </w:tc>
        <w:tc>
          <w:tcPr>
            <w:tcW w:w="1174" w:type="dxa"/>
          </w:tcPr>
          <w:p>
            <w:pPr>
              <w:pStyle w:val="TableParagraph"/>
              <w:spacing w:before="74"/>
              <w:ind w:left="32"/>
              <w:rPr>
                <w:sz w:val="22"/>
              </w:rPr>
            </w:pPr>
            <w:r>
              <w:rPr>
                <w:spacing w:val="-5"/>
                <w:sz w:val="22"/>
              </w:rPr>
              <w:t>17</w:t>
            </w:r>
          </w:p>
        </w:tc>
        <w:tc>
          <w:tcPr>
            <w:tcW w:w="4940" w:type="dxa"/>
          </w:tcPr>
          <w:p>
            <w:pPr>
              <w:pStyle w:val="TableParagraph"/>
              <w:spacing w:before="74"/>
              <w:ind w:left="103" w:right="600"/>
              <w:jc w:val="left"/>
              <w:rPr>
                <w:sz w:val="22"/>
              </w:rPr>
            </w:pPr>
            <w:r>
              <w:rPr>
                <w:spacing w:val="-2"/>
                <w:sz w:val="22"/>
              </w:rPr>
              <w:t>YLM-11,</w:t>
            </w:r>
            <w:r>
              <w:rPr>
                <w:spacing w:val="-12"/>
                <w:sz w:val="22"/>
              </w:rPr>
              <w:t> </w:t>
            </w:r>
            <w:r>
              <w:rPr>
                <w:spacing w:val="-2"/>
                <w:sz w:val="22"/>
              </w:rPr>
              <w:t>YLM-17,</w:t>
            </w:r>
            <w:r>
              <w:rPr>
                <w:spacing w:val="-12"/>
                <w:sz w:val="22"/>
              </w:rPr>
              <w:t> </w:t>
            </w:r>
            <w:r>
              <w:rPr>
                <w:spacing w:val="-2"/>
                <w:sz w:val="22"/>
              </w:rPr>
              <w:t>TPTS-29,</w:t>
            </w:r>
            <w:r>
              <w:rPr>
                <w:spacing w:val="-12"/>
                <w:sz w:val="22"/>
              </w:rPr>
              <w:t> </w:t>
            </w:r>
            <w:r>
              <w:rPr>
                <w:spacing w:val="-2"/>
                <w:sz w:val="22"/>
              </w:rPr>
              <w:t>Hima,</w:t>
            </w:r>
            <w:r>
              <w:rPr>
                <w:spacing w:val="-11"/>
                <w:sz w:val="22"/>
              </w:rPr>
              <w:t> </w:t>
            </w:r>
            <w:r>
              <w:rPr>
                <w:spacing w:val="-2"/>
                <w:sz w:val="22"/>
              </w:rPr>
              <w:t>VS-19-045, </w:t>
            </w:r>
            <w:r>
              <w:rPr>
                <w:sz w:val="22"/>
              </w:rPr>
              <w:t>RMT-204, VSP-5, IC-204159, IC-326984, IIOS-3101,</w:t>
            </w:r>
            <w:r>
              <w:rPr>
                <w:spacing w:val="-7"/>
                <w:sz w:val="22"/>
              </w:rPr>
              <w:t> </w:t>
            </w:r>
            <w:r>
              <w:rPr>
                <w:sz w:val="22"/>
              </w:rPr>
              <w:t>PCU-39,</w:t>
            </w:r>
            <w:r>
              <w:rPr>
                <w:spacing w:val="-7"/>
                <w:sz w:val="22"/>
              </w:rPr>
              <w:t> </w:t>
            </w:r>
            <w:r>
              <w:rPr>
                <w:sz w:val="22"/>
              </w:rPr>
              <w:t>AT-324,</w:t>
            </w:r>
            <w:r>
              <w:rPr>
                <w:spacing w:val="-7"/>
                <w:sz w:val="22"/>
              </w:rPr>
              <w:t> </w:t>
            </w:r>
            <w:r>
              <w:rPr>
                <w:sz w:val="22"/>
              </w:rPr>
              <w:t>PT-10,</w:t>
            </w:r>
            <w:r>
              <w:rPr>
                <w:spacing w:val="-7"/>
                <w:sz w:val="22"/>
              </w:rPr>
              <w:t> </w:t>
            </w:r>
            <w:r>
              <w:rPr>
                <w:sz w:val="22"/>
              </w:rPr>
              <w:t>SVT-451, TKG-22, VZM-2, CUMS-19-4</w:t>
            </w:r>
          </w:p>
        </w:tc>
      </w:tr>
      <w:tr>
        <w:trPr>
          <w:trHeight w:val="1172" w:hRule="atLeast"/>
        </w:trPr>
        <w:tc>
          <w:tcPr>
            <w:tcW w:w="611" w:type="dxa"/>
          </w:tcPr>
          <w:p>
            <w:pPr>
              <w:pStyle w:val="TableParagraph"/>
              <w:spacing w:before="76"/>
              <w:ind w:left="19" w:right="3"/>
              <w:rPr>
                <w:sz w:val="22"/>
              </w:rPr>
            </w:pPr>
            <w:r>
              <w:rPr>
                <w:spacing w:val="-5"/>
                <w:sz w:val="22"/>
              </w:rPr>
              <w:t>3.</w:t>
            </w:r>
          </w:p>
        </w:tc>
        <w:tc>
          <w:tcPr>
            <w:tcW w:w="961" w:type="dxa"/>
          </w:tcPr>
          <w:p>
            <w:pPr>
              <w:pStyle w:val="TableParagraph"/>
              <w:spacing w:before="76"/>
              <w:ind w:left="6"/>
              <w:rPr>
                <w:sz w:val="22"/>
              </w:rPr>
            </w:pPr>
            <w:r>
              <w:rPr>
                <w:spacing w:val="-10"/>
                <w:sz w:val="22"/>
              </w:rPr>
              <w:t>5</w:t>
            </w:r>
          </w:p>
        </w:tc>
        <w:tc>
          <w:tcPr>
            <w:tcW w:w="1147" w:type="dxa"/>
          </w:tcPr>
          <w:p>
            <w:pPr>
              <w:pStyle w:val="TableParagraph"/>
              <w:spacing w:before="76"/>
              <w:ind w:right="11"/>
              <w:rPr>
                <w:sz w:val="22"/>
              </w:rPr>
            </w:pPr>
            <w:r>
              <w:rPr>
                <w:spacing w:val="-2"/>
                <w:sz w:val="22"/>
              </w:rPr>
              <w:t>21-</w:t>
            </w:r>
            <w:r>
              <w:rPr>
                <w:spacing w:val="-7"/>
                <w:sz w:val="22"/>
              </w:rPr>
              <w:t>30</w:t>
            </w:r>
          </w:p>
        </w:tc>
        <w:tc>
          <w:tcPr>
            <w:tcW w:w="1292" w:type="dxa"/>
          </w:tcPr>
          <w:p>
            <w:pPr>
              <w:pStyle w:val="TableParagraph"/>
              <w:spacing w:before="74"/>
              <w:ind w:left="153" w:hanging="20"/>
              <w:jc w:val="left"/>
              <w:rPr>
                <w:sz w:val="22"/>
              </w:rPr>
            </w:pPr>
            <w:r>
              <w:rPr>
                <w:spacing w:val="-2"/>
                <w:sz w:val="22"/>
              </w:rPr>
              <w:t>Moderately susceptible</w:t>
            </w:r>
          </w:p>
        </w:tc>
        <w:tc>
          <w:tcPr>
            <w:tcW w:w="1174" w:type="dxa"/>
          </w:tcPr>
          <w:p>
            <w:pPr>
              <w:pStyle w:val="TableParagraph"/>
              <w:spacing w:before="76"/>
              <w:ind w:left="32"/>
              <w:rPr>
                <w:sz w:val="22"/>
              </w:rPr>
            </w:pPr>
            <w:r>
              <w:rPr>
                <w:spacing w:val="-5"/>
                <w:sz w:val="22"/>
              </w:rPr>
              <w:t>16</w:t>
            </w:r>
          </w:p>
        </w:tc>
        <w:tc>
          <w:tcPr>
            <w:tcW w:w="4940" w:type="dxa"/>
          </w:tcPr>
          <w:p>
            <w:pPr>
              <w:pStyle w:val="TableParagraph"/>
              <w:spacing w:before="74"/>
              <w:ind w:left="103" w:right="956"/>
              <w:jc w:val="left"/>
              <w:rPr>
                <w:sz w:val="22"/>
              </w:rPr>
            </w:pPr>
            <w:r>
              <w:rPr>
                <w:sz w:val="22"/>
              </w:rPr>
              <w:t>YLM-171,</w:t>
            </w:r>
            <w:r>
              <w:rPr>
                <w:spacing w:val="-10"/>
                <w:sz w:val="22"/>
              </w:rPr>
              <w:t> </w:t>
            </w:r>
            <w:r>
              <w:rPr>
                <w:sz w:val="22"/>
              </w:rPr>
              <w:t>TPTS-06,</w:t>
            </w:r>
            <w:r>
              <w:rPr>
                <w:spacing w:val="-10"/>
                <w:sz w:val="22"/>
              </w:rPr>
              <w:t> </w:t>
            </w:r>
            <w:r>
              <w:rPr>
                <w:sz w:val="22"/>
              </w:rPr>
              <w:t>TPTS-21,</w:t>
            </w:r>
            <w:r>
              <w:rPr>
                <w:spacing w:val="-10"/>
                <w:sz w:val="22"/>
              </w:rPr>
              <w:t> </w:t>
            </w:r>
            <w:r>
              <w:rPr>
                <w:sz w:val="22"/>
              </w:rPr>
              <w:t>VS-18-005, VS-20-001, RMT-176, VSP-6, JCS-1020, JCS-3593, IC-204830, IC-326984, RT-54, RT-204, SKL-3, PCU-35, MT-2019-11</w:t>
            </w:r>
          </w:p>
        </w:tc>
      </w:tr>
      <w:tr>
        <w:trPr>
          <w:trHeight w:val="919" w:hRule="atLeast"/>
        </w:trPr>
        <w:tc>
          <w:tcPr>
            <w:tcW w:w="611" w:type="dxa"/>
          </w:tcPr>
          <w:p>
            <w:pPr>
              <w:pStyle w:val="TableParagraph"/>
              <w:spacing w:before="75"/>
              <w:ind w:left="19" w:right="3"/>
              <w:rPr>
                <w:sz w:val="22"/>
              </w:rPr>
            </w:pPr>
            <w:r>
              <w:rPr>
                <w:spacing w:val="-5"/>
                <w:sz w:val="22"/>
              </w:rPr>
              <w:t>4.</w:t>
            </w:r>
          </w:p>
        </w:tc>
        <w:tc>
          <w:tcPr>
            <w:tcW w:w="961" w:type="dxa"/>
          </w:tcPr>
          <w:p>
            <w:pPr>
              <w:pStyle w:val="TableParagraph"/>
              <w:spacing w:before="75"/>
              <w:ind w:left="6"/>
              <w:rPr>
                <w:sz w:val="22"/>
              </w:rPr>
            </w:pPr>
            <w:r>
              <w:rPr>
                <w:spacing w:val="-10"/>
                <w:sz w:val="22"/>
              </w:rPr>
              <w:t>7</w:t>
            </w:r>
          </w:p>
        </w:tc>
        <w:tc>
          <w:tcPr>
            <w:tcW w:w="1147" w:type="dxa"/>
          </w:tcPr>
          <w:p>
            <w:pPr>
              <w:pStyle w:val="TableParagraph"/>
              <w:spacing w:before="75"/>
              <w:ind w:right="11"/>
              <w:rPr>
                <w:sz w:val="22"/>
              </w:rPr>
            </w:pPr>
            <w:r>
              <w:rPr>
                <w:spacing w:val="-2"/>
                <w:sz w:val="22"/>
              </w:rPr>
              <w:t>31-</w:t>
            </w:r>
            <w:r>
              <w:rPr>
                <w:spacing w:val="-7"/>
                <w:sz w:val="22"/>
              </w:rPr>
              <w:t>50</w:t>
            </w:r>
          </w:p>
        </w:tc>
        <w:tc>
          <w:tcPr>
            <w:tcW w:w="1292" w:type="dxa"/>
          </w:tcPr>
          <w:p>
            <w:pPr>
              <w:pStyle w:val="TableParagraph"/>
              <w:spacing w:before="75"/>
              <w:ind w:right="1"/>
              <w:rPr>
                <w:sz w:val="22"/>
              </w:rPr>
            </w:pPr>
            <w:r>
              <w:rPr>
                <w:spacing w:val="-2"/>
                <w:sz w:val="22"/>
              </w:rPr>
              <w:t>Susceptible</w:t>
            </w:r>
          </w:p>
        </w:tc>
        <w:tc>
          <w:tcPr>
            <w:tcW w:w="1174" w:type="dxa"/>
          </w:tcPr>
          <w:p>
            <w:pPr>
              <w:pStyle w:val="TableParagraph"/>
              <w:spacing w:before="75"/>
              <w:ind w:left="32"/>
              <w:rPr>
                <w:sz w:val="22"/>
              </w:rPr>
            </w:pPr>
            <w:r>
              <w:rPr>
                <w:spacing w:val="-5"/>
                <w:sz w:val="22"/>
              </w:rPr>
              <w:t>12</w:t>
            </w:r>
          </w:p>
        </w:tc>
        <w:tc>
          <w:tcPr>
            <w:tcW w:w="4940" w:type="dxa"/>
          </w:tcPr>
          <w:p>
            <w:pPr>
              <w:pStyle w:val="TableParagraph"/>
              <w:spacing w:line="252" w:lineRule="exact" w:before="75"/>
              <w:ind w:left="103"/>
              <w:jc w:val="left"/>
              <w:rPr>
                <w:sz w:val="22"/>
              </w:rPr>
            </w:pPr>
            <w:r>
              <w:rPr>
                <w:sz w:val="22"/>
              </w:rPr>
              <w:t>YLM-165,</w:t>
            </w:r>
            <w:r>
              <w:rPr>
                <w:spacing w:val="-8"/>
                <w:sz w:val="22"/>
              </w:rPr>
              <w:t> </w:t>
            </w:r>
            <w:r>
              <w:rPr>
                <w:sz w:val="22"/>
              </w:rPr>
              <w:t>TPTS-18,</w:t>
            </w:r>
            <w:r>
              <w:rPr>
                <w:spacing w:val="-8"/>
                <w:sz w:val="22"/>
              </w:rPr>
              <w:t> </w:t>
            </w:r>
            <w:r>
              <w:rPr>
                <w:sz w:val="22"/>
              </w:rPr>
              <w:t>TPTS-24,</w:t>
            </w:r>
            <w:r>
              <w:rPr>
                <w:spacing w:val="-7"/>
                <w:sz w:val="22"/>
              </w:rPr>
              <w:t> </w:t>
            </w:r>
            <w:r>
              <w:rPr>
                <w:sz w:val="22"/>
              </w:rPr>
              <w:t>TPTS-</w:t>
            </w:r>
            <w:r>
              <w:rPr>
                <w:spacing w:val="-5"/>
                <w:sz w:val="22"/>
              </w:rPr>
              <w:t>45,</w:t>
            </w:r>
          </w:p>
          <w:p>
            <w:pPr>
              <w:pStyle w:val="TableParagraph"/>
              <w:spacing w:before="0"/>
              <w:ind w:left="103" w:right="1445"/>
              <w:jc w:val="left"/>
              <w:rPr>
                <w:sz w:val="22"/>
              </w:rPr>
            </w:pPr>
            <w:r>
              <w:rPr>
                <w:sz w:val="22"/>
              </w:rPr>
              <w:t>TPTS-46,</w:t>
            </w:r>
            <w:r>
              <w:rPr>
                <w:spacing w:val="-10"/>
                <w:sz w:val="22"/>
              </w:rPr>
              <w:t> </w:t>
            </w:r>
            <w:r>
              <w:rPr>
                <w:sz w:val="22"/>
              </w:rPr>
              <w:t>Swetha,</w:t>
            </w:r>
            <w:r>
              <w:rPr>
                <w:spacing w:val="-10"/>
                <w:sz w:val="22"/>
              </w:rPr>
              <w:t> </w:t>
            </w:r>
            <w:r>
              <w:rPr>
                <w:sz w:val="22"/>
              </w:rPr>
              <w:t>Chandna,</w:t>
            </w:r>
            <w:r>
              <w:rPr>
                <w:spacing w:val="-10"/>
                <w:sz w:val="22"/>
              </w:rPr>
              <w:t> </w:t>
            </w:r>
            <w:r>
              <w:rPr>
                <w:sz w:val="22"/>
              </w:rPr>
              <w:t>JCS-706, JCS-2454, RT-68, SKL-2, DS-56</w:t>
            </w:r>
          </w:p>
        </w:tc>
      </w:tr>
      <w:tr>
        <w:trPr>
          <w:trHeight w:val="662" w:hRule="atLeast"/>
        </w:trPr>
        <w:tc>
          <w:tcPr>
            <w:tcW w:w="611" w:type="dxa"/>
            <w:tcBorders>
              <w:bottom w:val="single" w:sz="8" w:space="0" w:color="000000"/>
            </w:tcBorders>
          </w:tcPr>
          <w:p>
            <w:pPr>
              <w:pStyle w:val="TableParagraph"/>
              <w:spacing w:before="75"/>
              <w:ind w:left="19" w:right="3"/>
              <w:rPr>
                <w:sz w:val="22"/>
              </w:rPr>
            </w:pPr>
            <w:r>
              <w:rPr>
                <w:spacing w:val="-5"/>
                <w:sz w:val="22"/>
              </w:rPr>
              <w:t>5.</w:t>
            </w:r>
          </w:p>
        </w:tc>
        <w:tc>
          <w:tcPr>
            <w:tcW w:w="961" w:type="dxa"/>
            <w:tcBorders>
              <w:bottom w:val="single" w:sz="8" w:space="0" w:color="000000"/>
            </w:tcBorders>
          </w:tcPr>
          <w:p>
            <w:pPr>
              <w:pStyle w:val="TableParagraph"/>
              <w:spacing w:before="75"/>
              <w:ind w:left="6"/>
              <w:rPr>
                <w:sz w:val="22"/>
              </w:rPr>
            </w:pPr>
            <w:r>
              <w:rPr>
                <w:spacing w:val="-10"/>
                <w:sz w:val="22"/>
              </w:rPr>
              <w:t>9</w:t>
            </w:r>
          </w:p>
        </w:tc>
        <w:tc>
          <w:tcPr>
            <w:tcW w:w="1147" w:type="dxa"/>
            <w:tcBorders>
              <w:bottom w:val="single" w:sz="8" w:space="0" w:color="000000"/>
            </w:tcBorders>
          </w:tcPr>
          <w:p>
            <w:pPr>
              <w:pStyle w:val="TableParagraph"/>
              <w:spacing w:before="75"/>
              <w:ind w:right="11"/>
              <w:rPr>
                <w:sz w:val="22"/>
              </w:rPr>
            </w:pPr>
            <w:r>
              <w:rPr>
                <w:spacing w:val="-2"/>
                <w:sz w:val="22"/>
              </w:rPr>
              <w:t>51-</w:t>
            </w:r>
            <w:r>
              <w:rPr>
                <w:spacing w:val="-5"/>
                <w:sz w:val="22"/>
              </w:rPr>
              <w:t>100</w:t>
            </w:r>
          </w:p>
        </w:tc>
        <w:tc>
          <w:tcPr>
            <w:tcW w:w="1292" w:type="dxa"/>
            <w:tcBorders>
              <w:bottom w:val="single" w:sz="8" w:space="0" w:color="000000"/>
            </w:tcBorders>
          </w:tcPr>
          <w:p>
            <w:pPr>
              <w:pStyle w:val="TableParagraph"/>
              <w:spacing w:before="75"/>
              <w:ind w:left="153" w:firstLine="182"/>
              <w:jc w:val="left"/>
              <w:rPr>
                <w:sz w:val="22"/>
              </w:rPr>
            </w:pPr>
            <w:r>
              <w:rPr>
                <w:spacing w:val="-2"/>
                <w:sz w:val="22"/>
              </w:rPr>
              <w:t>Highly susceptible</w:t>
            </w:r>
          </w:p>
        </w:tc>
        <w:tc>
          <w:tcPr>
            <w:tcW w:w="1174" w:type="dxa"/>
            <w:tcBorders>
              <w:bottom w:val="single" w:sz="8" w:space="0" w:color="000000"/>
            </w:tcBorders>
          </w:tcPr>
          <w:p>
            <w:pPr>
              <w:pStyle w:val="TableParagraph"/>
              <w:spacing w:before="75"/>
              <w:ind w:left="32"/>
              <w:rPr>
                <w:sz w:val="22"/>
              </w:rPr>
            </w:pPr>
            <w:r>
              <w:rPr>
                <w:spacing w:val="-10"/>
                <w:sz w:val="22"/>
              </w:rPr>
              <w:t>5</w:t>
            </w:r>
          </w:p>
        </w:tc>
        <w:tc>
          <w:tcPr>
            <w:tcW w:w="4940" w:type="dxa"/>
            <w:tcBorders>
              <w:bottom w:val="single" w:sz="8" w:space="0" w:color="000000"/>
            </w:tcBorders>
          </w:tcPr>
          <w:p>
            <w:pPr>
              <w:pStyle w:val="TableParagraph"/>
              <w:spacing w:before="75"/>
              <w:ind w:left="103" w:right="1310"/>
              <w:jc w:val="left"/>
              <w:rPr>
                <w:sz w:val="22"/>
              </w:rPr>
            </w:pPr>
            <w:r>
              <w:rPr>
                <w:sz w:val="22"/>
              </w:rPr>
              <w:t>TPTS-01,</w:t>
            </w:r>
            <w:r>
              <w:rPr>
                <w:spacing w:val="-10"/>
                <w:sz w:val="22"/>
              </w:rPr>
              <w:t> </w:t>
            </w:r>
            <w:r>
              <w:rPr>
                <w:sz w:val="22"/>
              </w:rPr>
              <w:t>Gowri,</w:t>
            </w:r>
            <w:r>
              <w:rPr>
                <w:spacing w:val="-10"/>
                <w:sz w:val="22"/>
              </w:rPr>
              <w:t> </w:t>
            </w:r>
            <w:r>
              <w:rPr>
                <w:sz w:val="22"/>
              </w:rPr>
              <w:t>RMT-130,</w:t>
            </w:r>
            <w:r>
              <w:rPr>
                <w:spacing w:val="-10"/>
                <w:sz w:val="22"/>
              </w:rPr>
              <w:t> </w:t>
            </w:r>
            <w:r>
              <w:rPr>
                <w:sz w:val="22"/>
              </w:rPr>
              <w:t>RMT-175, </w:t>
            </w:r>
            <w:r>
              <w:rPr>
                <w:spacing w:val="-2"/>
                <w:sz w:val="22"/>
              </w:rPr>
              <w:t>RMT-253</w:t>
            </w:r>
          </w:p>
        </w:tc>
      </w:tr>
    </w:tbl>
    <w:p>
      <w:pPr>
        <w:pStyle w:val="TableParagraph"/>
        <w:spacing w:after="0"/>
        <w:jc w:val="left"/>
        <w:rPr>
          <w:sz w:val="22"/>
        </w:rPr>
        <w:sectPr>
          <w:pgSz w:w="12480" w:h="15880"/>
          <w:pgMar w:header="0" w:footer="988" w:top="1180" w:bottom="1180" w:left="1133" w:right="1133"/>
        </w:sectPr>
      </w:pPr>
    </w:p>
    <w:p>
      <w:pPr>
        <w:pStyle w:val="BodyText"/>
        <w:spacing w:line="249" w:lineRule="auto" w:before="49"/>
        <w:jc w:val="both"/>
      </w:pPr>
      <w:r>
        <w:rPr>
          <w:color w:val="231F20"/>
        </w:rPr>
        <w:t>efforts in screening, validation and breeding will contribute</w:t>
      </w:r>
      <w:r>
        <w:rPr>
          <w:color w:val="231F20"/>
          <w:spacing w:val="-7"/>
        </w:rPr>
        <w:t> </w:t>
      </w:r>
      <w:r>
        <w:rPr>
          <w:color w:val="231F20"/>
        </w:rPr>
        <w:t>to</w:t>
      </w:r>
      <w:r>
        <w:rPr>
          <w:color w:val="231F20"/>
          <w:spacing w:val="-7"/>
        </w:rPr>
        <w:t> </w:t>
      </w:r>
      <w:r>
        <w:rPr>
          <w:color w:val="231F20"/>
        </w:rPr>
        <w:t>securing</w:t>
      </w:r>
      <w:r>
        <w:rPr>
          <w:color w:val="231F20"/>
          <w:spacing w:val="-7"/>
        </w:rPr>
        <w:t> </w:t>
      </w:r>
      <w:r>
        <w:rPr>
          <w:color w:val="231F20"/>
        </w:rPr>
        <w:t>sesame</w:t>
      </w:r>
      <w:r>
        <w:rPr>
          <w:color w:val="231F20"/>
          <w:spacing w:val="-7"/>
        </w:rPr>
        <w:t> </w:t>
      </w:r>
      <w:r>
        <w:rPr>
          <w:color w:val="231F20"/>
        </w:rPr>
        <w:t>production</w:t>
      </w:r>
      <w:r>
        <w:rPr>
          <w:color w:val="231F20"/>
          <w:spacing w:val="-7"/>
        </w:rPr>
        <w:t> </w:t>
      </w:r>
      <w:r>
        <w:rPr>
          <w:color w:val="231F20"/>
        </w:rPr>
        <w:t>and</w:t>
      </w:r>
      <w:r>
        <w:rPr>
          <w:color w:val="231F20"/>
          <w:spacing w:val="-7"/>
        </w:rPr>
        <w:t> </w:t>
      </w:r>
      <w:r>
        <w:rPr>
          <w:color w:val="231F20"/>
        </w:rPr>
        <w:t>improving farmer</w:t>
      </w:r>
      <w:r>
        <w:rPr>
          <w:color w:val="231F20"/>
          <w:spacing w:val="-14"/>
        </w:rPr>
        <w:t> </w:t>
      </w:r>
      <w:r>
        <w:rPr>
          <w:color w:val="231F20"/>
        </w:rPr>
        <w:t>livelihoods.</w:t>
      </w:r>
      <w:r>
        <w:rPr>
          <w:color w:val="231F20"/>
          <w:spacing w:val="-14"/>
        </w:rPr>
        <w:t> </w:t>
      </w:r>
      <w:r>
        <w:rPr>
          <w:color w:val="231F20"/>
        </w:rPr>
        <w:t>The</w:t>
      </w:r>
      <w:r>
        <w:rPr>
          <w:color w:val="231F20"/>
          <w:spacing w:val="-14"/>
        </w:rPr>
        <w:t> </w:t>
      </w:r>
      <w:r>
        <w:rPr>
          <w:color w:val="231F20"/>
        </w:rPr>
        <w:t>use</w:t>
      </w:r>
      <w:r>
        <w:rPr>
          <w:color w:val="231F20"/>
          <w:spacing w:val="-13"/>
        </w:rPr>
        <w:t> </w:t>
      </w:r>
      <w:r>
        <w:rPr>
          <w:color w:val="231F20"/>
        </w:rPr>
        <w:t>of</w:t>
      </w:r>
      <w:r>
        <w:rPr>
          <w:color w:val="231F20"/>
          <w:spacing w:val="-13"/>
        </w:rPr>
        <w:t> </w:t>
      </w:r>
      <w:r>
        <w:rPr>
          <w:color w:val="231F20"/>
        </w:rPr>
        <w:t>resistant</w:t>
      </w:r>
      <w:r>
        <w:rPr>
          <w:color w:val="231F20"/>
          <w:spacing w:val="-13"/>
        </w:rPr>
        <w:t> </w:t>
      </w:r>
      <w:r>
        <w:rPr>
          <w:color w:val="231F20"/>
        </w:rPr>
        <w:t>varieties</w:t>
      </w:r>
      <w:r>
        <w:rPr>
          <w:color w:val="231F20"/>
          <w:spacing w:val="-13"/>
        </w:rPr>
        <w:t> </w:t>
      </w:r>
      <w:r>
        <w:rPr>
          <w:color w:val="231F20"/>
        </w:rPr>
        <w:t>not</w:t>
      </w:r>
      <w:r>
        <w:rPr>
          <w:color w:val="231F20"/>
          <w:spacing w:val="-13"/>
        </w:rPr>
        <w:t> </w:t>
      </w:r>
      <w:r>
        <w:rPr>
          <w:color w:val="231F20"/>
        </w:rPr>
        <w:t>only provides</w:t>
      </w:r>
      <w:r>
        <w:rPr>
          <w:color w:val="231F20"/>
          <w:spacing w:val="-7"/>
        </w:rPr>
        <w:t> </w:t>
      </w:r>
      <w:r>
        <w:rPr>
          <w:color w:val="231F20"/>
        </w:rPr>
        <w:t>an</w:t>
      </w:r>
      <w:r>
        <w:rPr>
          <w:color w:val="231F20"/>
          <w:spacing w:val="-7"/>
        </w:rPr>
        <w:t> </w:t>
      </w:r>
      <w:r>
        <w:rPr>
          <w:color w:val="231F20"/>
        </w:rPr>
        <w:t>eco-friendly</w:t>
      </w:r>
      <w:r>
        <w:rPr>
          <w:color w:val="231F20"/>
          <w:spacing w:val="-7"/>
        </w:rPr>
        <w:t> </w:t>
      </w:r>
      <w:r>
        <w:rPr>
          <w:color w:val="231F20"/>
        </w:rPr>
        <w:t>and</w:t>
      </w:r>
      <w:r>
        <w:rPr>
          <w:color w:val="231F20"/>
          <w:spacing w:val="-7"/>
        </w:rPr>
        <w:t> </w:t>
      </w:r>
      <w:r>
        <w:rPr>
          <w:color w:val="231F20"/>
        </w:rPr>
        <w:t>cost-effective</w:t>
      </w:r>
      <w:r>
        <w:rPr>
          <w:color w:val="231F20"/>
          <w:spacing w:val="-7"/>
        </w:rPr>
        <w:t> </w:t>
      </w:r>
      <w:r>
        <w:rPr>
          <w:color w:val="231F20"/>
        </w:rPr>
        <w:t>management strategy but also reduces the dependency on chemical control measures.</w:t>
      </w:r>
    </w:p>
    <w:p>
      <w:pPr>
        <w:pStyle w:val="Heading1"/>
        <w:spacing w:before="126"/>
      </w:pPr>
      <w:r>
        <w:rPr>
          <w:color w:val="231F20"/>
          <w:spacing w:val="-2"/>
        </w:rPr>
        <w:t>LITERATURE</w:t>
      </w:r>
      <w:r>
        <w:rPr>
          <w:color w:val="231F20"/>
          <w:spacing w:val="-3"/>
        </w:rPr>
        <w:t> </w:t>
      </w:r>
      <w:r>
        <w:rPr>
          <w:color w:val="231F20"/>
          <w:spacing w:val="-2"/>
        </w:rPr>
        <w:t>CITED</w:t>
      </w:r>
    </w:p>
    <w:p>
      <w:pPr>
        <w:spacing w:line="249" w:lineRule="auto" w:before="122"/>
        <w:ind w:left="433" w:right="0" w:hanging="432"/>
        <w:jc w:val="both"/>
        <w:rPr>
          <w:sz w:val="22"/>
        </w:rPr>
      </w:pPr>
      <w:r>
        <w:rPr>
          <w:color w:val="231F20"/>
          <w:sz w:val="22"/>
        </w:rPr>
        <w:t>Abdul Sattar, M.H., Salem, A.M and Bayounes, </w:t>
      </w:r>
      <w:r>
        <w:rPr>
          <w:color w:val="231F20"/>
          <w:sz w:val="22"/>
        </w:rPr>
        <w:t>A.A. 2006. Physical and biological control of charcoal root rot in sesame caused by </w:t>
      </w:r>
      <w:r>
        <w:rPr>
          <w:i/>
          <w:color w:val="231F20"/>
          <w:sz w:val="22"/>
        </w:rPr>
        <w:t>Macrophomina phaseolina </w:t>
      </w:r>
      <w:r>
        <w:rPr>
          <w:color w:val="231F20"/>
          <w:sz w:val="22"/>
        </w:rPr>
        <w:t>(Tassi) Goid. </w:t>
      </w:r>
      <w:r>
        <w:rPr>
          <w:i/>
          <w:color w:val="231F20"/>
          <w:sz w:val="22"/>
        </w:rPr>
        <w:t>Arab Journal of Plant Protection</w:t>
      </w:r>
      <w:r>
        <w:rPr>
          <w:color w:val="231F20"/>
          <w:sz w:val="22"/>
        </w:rPr>
        <w:t>. 24: 37-40.</w:t>
      </w:r>
    </w:p>
    <w:p>
      <w:pPr>
        <w:pStyle w:val="BodyText"/>
        <w:spacing w:line="249" w:lineRule="auto" w:before="119"/>
        <w:ind w:left="433" w:hanging="432"/>
        <w:jc w:val="both"/>
      </w:pPr>
      <w:r>
        <w:rPr>
          <w:color w:val="231F20"/>
        </w:rPr>
        <w:t>Ahmed, H.A.M., Abdel Razik, A.A., Hassan, </w:t>
      </w:r>
      <w:r>
        <w:rPr>
          <w:color w:val="231F20"/>
        </w:rPr>
        <w:t>M.H.A. and Khaled, S.A. 2010. Management of charcoal rot of sesame by seed soaking in medicinal plant extracts</w:t>
      </w:r>
      <w:r>
        <w:rPr>
          <w:color w:val="231F20"/>
          <w:spacing w:val="-14"/>
        </w:rPr>
        <w:t> </w:t>
      </w:r>
      <w:r>
        <w:rPr>
          <w:color w:val="231F20"/>
        </w:rPr>
        <w:t>and</w:t>
      </w:r>
      <w:r>
        <w:rPr>
          <w:color w:val="231F20"/>
          <w:spacing w:val="-14"/>
        </w:rPr>
        <w:t> </w:t>
      </w:r>
      <w:r>
        <w:rPr>
          <w:color w:val="231F20"/>
        </w:rPr>
        <w:t>hot</w:t>
      </w:r>
      <w:r>
        <w:rPr>
          <w:color w:val="231F20"/>
          <w:spacing w:val="-14"/>
        </w:rPr>
        <w:t> </w:t>
      </w:r>
      <w:r>
        <w:rPr>
          <w:color w:val="231F20"/>
        </w:rPr>
        <w:t>water.</w:t>
      </w:r>
      <w:r>
        <w:rPr>
          <w:color w:val="231F20"/>
          <w:spacing w:val="-13"/>
        </w:rPr>
        <w:t> </w:t>
      </w:r>
      <w:r>
        <w:rPr>
          <w:i/>
          <w:color w:val="231F20"/>
        </w:rPr>
        <w:t>Plant</w:t>
      </w:r>
      <w:r>
        <w:rPr>
          <w:i/>
          <w:color w:val="231F20"/>
          <w:spacing w:val="-14"/>
        </w:rPr>
        <w:t> </w:t>
      </w:r>
      <w:r>
        <w:rPr>
          <w:i/>
          <w:color w:val="231F20"/>
        </w:rPr>
        <w:t>Pathology</w:t>
      </w:r>
      <w:r>
        <w:rPr>
          <w:i/>
          <w:color w:val="231F20"/>
          <w:spacing w:val="-14"/>
        </w:rPr>
        <w:t> </w:t>
      </w:r>
      <w:r>
        <w:rPr>
          <w:i/>
          <w:color w:val="231F20"/>
        </w:rPr>
        <w:t>Journal</w:t>
      </w:r>
      <w:r>
        <w:rPr>
          <w:color w:val="231F20"/>
        </w:rPr>
        <w:t>.</w:t>
      </w:r>
      <w:r>
        <w:rPr>
          <w:color w:val="231F20"/>
          <w:spacing w:val="-14"/>
        </w:rPr>
        <w:t> </w:t>
      </w:r>
      <w:r>
        <w:rPr>
          <w:color w:val="231F20"/>
        </w:rPr>
        <w:t>26: 372 379.</w:t>
      </w:r>
    </w:p>
    <w:p>
      <w:pPr>
        <w:spacing w:line="249" w:lineRule="auto" w:before="120"/>
        <w:ind w:left="433" w:right="0" w:hanging="432"/>
        <w:jc w:val="both"/>
        <w:rPr>
          <w:sz w:val="22"/>
        </w:rPr>
      </w:pPr>
      <w:r>
        <w:rPr>
          <w:color w:val="231F20"/>
          <w:sz w:val="22"/>
        </w:rPr>
        <w:t>Ara, A., Akram, A., Ajmal, M., Akhund, S., </w:t>
      </w:r>
      <w:r>
        <w:rPr>
          <w:color w:val="231F20"/>
          <w:sz w:val="22"/>
        </w:rPr>
        <w:t>Nayyar, B.G., Seerat, W and Chaudhry, S.M. 2017. Histopathological studies of sesame (</w:t>
      </w:r>
      <w:r>
        <w:rPr>
          <w:i/>
          <w:color w:val="231F20"/>
          <w:sz w:val="22"/>
        </w:rPr>
        <w:t>Sesamum indicum</w:t>
      </w:r>
      <w:r>
        <w:rPr>
          <w:color w:val="231F20"/>
          <w:sz w:val="22"/>
        </w:rPr>
        <w:t>) seedlings infected with </w:t>
      </w:r>
      <w:r>
        <w:rPr>
          <w:i/>
          <w:color w:val="231F20"/>
          <w:sz w:val="22"/>
        </w:rPr>
        <w:t>Fusarium oxysporum. Plant Pathology &amp; Quarantine. </w:t>
      </w:r>
      <w:r>
        <w:rPr>
          <w:color w:val="231F20"/>
          <w:sz w:val="22"/>
        </w:rPr>
        <w:t>7: 82 </w:t>
      </w:r>
      <w:r>
        <w:rPr>
          <w:color w:val="231F20"/>
          <w:spacing w:val="-4"/>
          <w:sz w:val="22"/>
        </w:rPr>
        <w:t>90.</w:t>
      </w:r>
    </w:p>
    <w:p>
      <w:pPr>
        <w:spacing w:line="249" w:lineRule="auto" w:before="72"/>
        <w:ind w:left="433" w:right="1" w:hanging="432"/>
        <w:jc w:val="both"/>
        <w:rPr>
          <w:sz w:val="22"/>
        </w:rPr>
      </w:pPr>
      <w:r>
        <w:rPr/>
        <w:br w:type="column"/>
      </w:r>
      <w:r>
        <w:rPr>
          <w:color w:val="231F20"/>
          <w:sz w:val="22"/>
        </w:rPr>
        <w:t>Biswas, S., Natta, S., Prasad Ray, D., Mondal, P </w:t>
      </w:r>
      <w:r>
        <w:rPr>
          <w:color w:val="231F20"/>
          <w:sz w:val="22"/>
        </w:rPr>
        <w:t>and Saha, U. 2018. Til (</w:t>
      </w:r>
      <w:r>
        <w:rPr>
          <w:i/>
          <w:color w:val="231F20"/>
          <w:sz w:val="22"/>
        </w:rPr>
        <w:t>Sesamum indicum </w:t>
      </w:r>
      <w:r>
        <w:rPr>
          <w:color w:val="231F20"/>
          <w:sz w:val="22"/>
        </w:rPr>
        <w:t>L.) - An Underexploited but Promising Oilseed with Multifarious</w:t>
      </w:r>
      <w:r>
        <w:rPr>
          <w:color w:val="231F20"/>
          <w:spacing w:val="-14"/>
          <w:sz w:val="22"/>
        </w:rPr>
        <w:t> </w:t>
      </w:r>
      <w:r>
        <w:rPr>
          <w:color w:val="231F20"/>
          <w:sz w:val="22"/>
        </w:rPr>
        <w:t>Applications:</w:t>
      </w:r>
      <w:r>
        <w:rPr>
          <w:color w:val="231F20"/>
          <w:spacing w:val="-14"/>
          <w:sz w:val="22"/>
        </w:rPr>
        <w:t> </w:t>
      </w:r>
      <w:r>
        <w:rPr>
          <w:color w:val="231F20"/>
          <w:sz w:val="22"/>
        </w:rPr>
        <w:t>A</w:t>
      </w:r>
      <w:r>
        <w:rPr>
          <w:color w:val="231F20"/>
          <w:spacing w:val="-14"/>
          <w:sz w:val="22"/>
        </w:rPr>
        <w:t> </w:t>
      </w:r>
      <w:r>
        <w:rPr>
          <w:color w:val="231F20"/>
          <w:sz w:val="22"/>
        </w:rPr>
        <w:t>Review.</w:t>
      </w:r>
      <w:r>
        <w:rPr>
          <w:color w:val="231F20"/>
          <w:spacing w:val="-13"/>
          <w:sz w:val="22"/>
        </w:rPr>
        <w:t> </w:t>
      </w:r>
      <w:r>
        <w:rPr>
          <w:i/>
          <w:color w:val="231F20"/>
          <w:sz w:val="22"/>
        </w:rPr>
        <w:t>International Journal of Bioresource Science</w:t>
      </w:r>
      <w:r>
        <w:rPr>
          <w:color w:val="231F20"/>
          <w:sz w:val="22"/>
        </w:rPr>
        <w:t>. 5: 127-139.</w:t>
      </w:r>
    </w:p>
    <w:p>
      <w:pPr>
        <w:spacing w:line="249" w:lineRule="auto" w:before="120"/>
        <w:ind w:left="433" w:right="1" w:hanging="432"/>
        <w:jc w:val="both"/>
        <w:rPr>
          <w:sz w:val="22"/>
        </w:rPr>
      </w:pPr>
      <w:r>
        <w:rPr>
          <w:color w:val="231F20"/>
          <w:sz w:val="22"/>
        </w:rPr>
        <w:t>Deepthi,</w:t>
      </w:r>
      <w:r>
        <w:rPr>
          <w:color w:val="231F20"/>
          <w:spacing w:val="-10"/>
          <w:sz w:val="22"/>
        </w:rPr>
        <w:t> </w:t>
      </w:r>
      <w:r>
        <w:rPr>
          <w:color w:val="231F20"/>
          <w:sz w:val="22"/>
        </w:rPr>
        <w:t>P.,</w:t>
      </w:r>
      <w:r>
        <w:rPr>
          <w:color w:val="231F20"/>
          <w:spacing w:val="-9"/>
          <w:sz w:val="22"/>
        </w:rPr>
        <w:t> </w:t>
      </w:r>
      <w:r>
        <w:rPr>
          <w:color w:val="231F20"/>
          <w:sz w:val="22"/>
        </w:rPr>
        <w:t>Shukla,</w:t>
      </w:r>
      <w:r>
        <w:rPr>
          <w:color w:val="231F20"/>
          <w:spacing w:val="-9"/>
          <w:sz w:val="22"/>
        </w:rPr>
        <w:t> </w:t>
      </w:r>
      <w:r>
        <w:rPr>
          <w:color w:val="231F20"/>
          <w:sz w:val="22"/>
        </w:rPr>
        <w:t>C.S.,</w:t>
      </w:r>
      <w:r>
        <w:rPr>
          <w:color w:val="231F20"/>
          <w:spacing w:val="-12"/>
          <w:sz w:val="22"/>
        </w:rPr>
        <w:t> </w:t>
      </w:r>
      <w:r>
        <w:rPr>
          <w:color w:val="231F20"/>
          <w:sz w:val="22"/>
        </w:rPr>
        <w:t>Verma,</w:t>
      </w:r>
      <w:r>
        <w:rPr>
          <w:color w:val="231F20"/>
          <w:spacing w:val="-9"/>
          <w:sz w:val="22"/>
        </w:rPr>
        <w:t> </w:t>
      </w:r>
      <w:r>
        <w:rPr>
          <w:color w:val="231F20"/>
          <w:sz w:val="22"/>
        </w:rPr>
        <w:t>K.P</w:t>
      </w:r>
      <w:r>
        <w:rPr>
          <w:color w:val="231F20"/>
          <w:spacing w:val="-14"/>
          <w:sz w:val="22"/>
        </w:rPr>
        <w:t> </w:t>
      </w:r>
      <w:r>
        <w:rPr>
          <w:color w:val="231F20"/>
          <w:sz w:val="22"/>
        </w:rPr>
        <w:t>and</w:t>
      </w:r>
      <w:r>
        <w:rPr>
          <w:color w:val="231F20"/>
          <w:spacing w:val="-9"/>
          <w:sz w:val="22"/>
        </w:rPr>
        <w:t> </w:t>
      </w:r>
      <w:r>
        <w:rPr>
          <w:color w:val="231F20"/>
          <w:sz w:val="22"/>
        </w:rPr>
        <w:t>Reddy,</w:t>
      </w:r>
      <w:r>
        <w:rPr>
          <w:color w:val="231F20"/>
          <w:spacing w:val="-9"/>
          <w:sz w:val="22"/>
        </w:rPr>
        <w:t> </w:t>
      </w:r>
      <w:r>
        <w:rPr>
          <w:color w:val="231F20"/>
          <w:sz w:val="22"/>
        </w:rPr>
        <w:t>E.S.S. 2014. Identification of charcoal rot resistant lines</w:t>
      </w:r>
      <w:r>
        <w:rPr>
          <w:color w:val="231F20"/>
          <w:spacing w:val="40"/>
          <w:sz w:val="22"/>
        </w:rPr>
        <w:t> </w:t>
      </w:r>
      <w:r>
        <w:rPr>
          <w:color w:val="231F20"/>
          <w:sz w:val="22"/>
        </w:rPr>
        <w:t>of </w:t>
      </w:r>
      <w:r>
        <w:rPr>
          <w:i/>
          <w:color w:val="231F20"/>
          <w:sz w:val="22"/>
        </w:rPr>
        <w:t>Sesamum indicum </w:t>
      </w:r>
      <w:r>
        <w:rPr>
          <w:color w:val="231F20"/>
          <w:sz w:val="22"/>
        </w:rPr>
        <w:t>and chemical management of </w:t>
      </w:r>
      <w:r>
        <w:rPr>
          <w:i/>
          <w:color w:val="231F20"/>
          <w:sz w:val="22"/>
        </w:rPr>
        <w:t>Macrophomina</w:t>
      </w:r>
      <w:r>
        <w:rPr>
          <w:i/>
          <w:color w:val="231F20"/>
          <w:spacing w:val="-10"/>
          <w:sz w:val="22"/>
        </w:rPr>
        <w:t> </w:t>
      </w:r>
      <w:r>
        <w:rPr>
          <w:i/>
          <w:color w:val="231F20"/>
          <w:sz w:val="22"/>
        </w:rPr>
        <w:t>phaseolina.</w:t>
      </w:r>
      <w:r>
        <w:rPr>
          <w:i/>
          <w:color w:val="231F20"/>
          <w:spacing w:val="-10"/>
          <w:sz w:val="22"/>
        </w:rPr>
        <w:t> </w:t>
      </w:r>
      <w:r>
        <w:rPr>
          <w:i/>
          <w:color w:val="231F20"/>
          <w:sz w:val="22"/>
        </w:rPr>
        <w:t>Medicinal</w:t>
      </w:r>
      <w:r>
        <w:rPr>
          <w:i/>
          <w:color w:val="231F20"/>
          <w:spacing w:val="-10"/>
          <w:sz w:val="22"/>
        </w:rPr>
        <w:t> </w:t>
      </w:r>
      <w:r>
        <w:rPr>
          <w:i/>
          <w:color w:val="231F20"/>
          <w:sz w:val="22"/>
        </w:rPr>
        <w:t>Plants.</w:t>
      </w:r>
      <w:r>
        <w:rPr>
          <w:i/>
          <w:color w:val="231F20"/>
          <w:spacing w:val="-10"/>
          <w:sz w:val="22"/>
        </w:rPr>
        <w:t> </w:t>
      </w:r>
      <w:r>
        <w:rPr>
          <w:color w:val="231F20"/>
          <w:sz w:val="22"/>
        </w:rPr>
        <w:t>6(1): </w:t>
      </w:r>
      <w:r>
        <w:rPr>
          <w:color w:val="231F20"/>
          <w:spacing w:val="-2"/>
          <w:sz w:val="22"/>
        </w:rPr>
        <w:t>36-42.</w:t>
      </w:r>
    </w:p>
    <w:p>
      <w:pPr>
        <w:spacing w:line="249" w:lineRule="auto" w:before="120"/>
        <w:ind w:left="433" w:right="1" w:hanging="432"/>
        <w:jc w:val="both"/>
        <w:rPr>
          <w:sz w:val="22"/>
        </w:rPr>
      </w:pPr>
      <w:r>
        <w:rPr>
          <w:color w:val="231F20"/>
          <w:sz w:val="22"/>
        </w:rPr>
        <w:t>Dinakaran,</w:t>
      </w:r>
      <w:r>
        <w:rPr>
          <w:color w:val="231F20"/>
          <w:spacing w:val="-12"/>
          <w:sz w:val="22"/>
        </w:rPr>
        <w:t> </w:t>
      </w:r>
      <w:r>
        <w:rPr>
          <w:color w:val="231F20"/>
          <w:sz w:val="22"/>
        </w:rPr>
        <w:t>D</w:t>
      </w:r>
      <w:r>
        <w:rPr>
          <w:color w:val="231F20"/>
          <w:spacing w:val="-12"/>
          <w:sz w:val="22"/>
        </w:rPr>
        <w:t> </w:t>
      </w:r>
      <w:r>
        <w:rPr>
          <w:color w:val="231F20"/>
          <w:sz w:val="22"/>
        </w:rPr>
        <w:t>and</w:t>
      </w:r>
      <w:r>
        <w:rPr>
          <w:color w:val="231F20"/>
          <w:spacing w:val="-12"/>
          <w:sz w:val="22"/>
        </w:rPr>
        <w:t> </w:t>
      </w:r>
      <w:r>
        <w:rPr>
          <w:color w:val="231F20"/>
          <w:sz w:val="22"/>
        </w:rPr>
        <w:t>Naina</w:t>
      </w:r>
      <w:r>
        <w:rPr>
          <w:color w:val="231F20"/>
          <w:spacing w:val="-12"/>
          <w:sz w:val="22"/>
        </w:rPr>
        <w:t> </w:t>
      </w:r>
      <w:r>
        <w:rPr>
          <w:color w:val="231F20"/>
          <w:sz w:val="22"/>
        </w:rPr>
        <w:t>Mohammed,</w:t>
      </w:r>
      <w:r>
        <w:rPr>
          <w:color w:val="231F20"/>
          <w:spacing w:val="-12"/>
          <w:sz w:val="22"/>
        </w:rPr>
        <w:t> </w:t>
      </w:r>
      <w:r>
        <w:rPr>
          <w:color w:val="231F20"/>
          <w:sz w:val="22"/>
        </w:rPr>
        <w:t>S.E.</w:t>
      </w:r>
      <w:r>
        <w:rPr>
          <w:color w:val="231F20"/>
          <w:spacing w:val="-12"/>
          <w:sz w:val="22"/>
        </w:rPr>
        <w:t> </w:t>
      </w:r>
      <w:r>
        <w:rPr>
          <w:color w:val="231F20"/>
          <w:sz w:val="22"/>
        </w:rPr>
        <w:t>2001.</w:t>
      </w:r>
      <w:r>
        <w:rPr>
          <w:color w:val="231F20"/>
          <w:spacing w:val="-12"/>
          <w:sz w:val="22"/>
        </w:rPr>
        <w:t> </w:t>
      </w:r>
      <w:r>
        <w:rPr>
          <w:color w:val="231F20"/>
          <w:sz w:val="22"/>
        </w:rPr>
        <w:t>Sesame and </w:t>
      </w:r>
      <w:r>
        <w:rPr>
          <w:i/>
          <w:color w:val="231F20"/>
          <w:sz w:val="22"/>
        </w:rPr>
        <w:t>Saffiower Newsletter. </w:t>
      </w:r>
      <w:r>
        <w:rPr>
          <w:color w:val="231F20"/>
          <w:sz w:val="22"/>
        </w:rPr>
        <w:t>16: 68-71.</w:t>
      </w:r>
    </w:p>
    <w:p>
      <w:pPr>
        <w:spacing w:line="249" w:lineRule="auto" w:before="117"/>
        <w:ind w:left="433" w:right="1" w:hanging="432"/>
        <w:jc w:val="both"/>
        <w:rPr>
          <w:sz w:val="22"/>
        </w:rPr>
      </w:pPr>
      <w:r>
        <w:rPr>
          <w:color w:val="231F20"/>
          <w:sz w:val="22"/>
        </w:rPr>
        <w:t>Ezhilarasi and Meena. 2019. Screening for resistance </w:t>
      </w:r>
      <w:r>
        <w:rPr>
          <w:color w:val="231F20"/>
          <w:sz w:val="22"/>
        </w:rPr>
        <w:t>to Macrophomina root rot in advanced breeding lines of</w:t>
      </w:r>
      <w:r>
        <w:rPr>
          <w:color w:val="231F20"/>
          <w:spacing w:val="-2"/>
          <w:sz w:val="22"/>
        </w:rPr>
        <w:t> </w:t>
      </w:r>
      <w:r>
        <w:rPr>
          <w:color w:val="231F20"/>
          <w:sz w:val="22"/>
        </w:rPr>
        <w:t>sesame.</w:t>
      </w:r>
      <w:r>
        <w:rPr>
          <w:color w:val="231F20"/>
          <w:spacing w:val="-2"/>
          <w:sz w:val="22"/>
        </w:rPr>
        <w:t> </w:t>
      </w:r>
      <w:r>
        <w:rPr>
          <w:i/>
          <w:color w:val="231F20"/>
          <w:sz w:val="22"/>
        </w:rPr>
        <w:t>Journal</w:t>
      </w:r>
      <w:r>
        <w:rPr>
          <w:i/>
          <w:color w:val="231F20"/>
          <w:spacing w:val="-2"/>
          <w:sz w:val="22"/>
        </w:rPr>
        <w:t> </w:t>
      </w:r>
      <w:r>
        <w:rPr>
          <w:i/>
          <w:color w:val="231F20"/>
          <w:sz w:val="22"/>
        </w:rPr>
        <w:t>of</w:t>
      </w:r>
      <w:r>
        <w:rPr>
          <w:i/>
          <w:color w:val="231F20"/>
          <w:spacing w:val="-2"/>
          <w:sz w:val="22"/>
        </w:rPr>
        <w:t> </w:t>
      </w:r>
      <w:r>
        <w:rPr>
          <w:i/>
          <w:color w:val="231F20"/>
          <w:sz w:val="22"/>
        </w:rPr>
        <w:t>Plant</w:t>
      </w:r>
      <w:r>
        <w:rPr>
          <w:i/>
          <w:color w:val="231F20"/>
          <w:spacing w:val="-2"/>
          <w:sz w:val="22"/>
        </w:rPr>
        <w:t> </w:t>
      </w:r>
      <w:r>
        <w:rPr>
          <w:i/>
          <w:color w:val="231F20"/>
          <w:sz w:val="22"/>
        </w:rPr>
        <w:t>Development</w:t>
      </w:r>
      <w:r>
        <w:rPr>
          <w:i/>
          <w:color w:val="231F20"/>
          <w:spacing w:val="-2"/>
          <w:sz w:val="22"/>
        </w:rPr>
        <w:t> </w:t>
      </w:r>
      <w:r>
        <w:rPr>
          <w:i/>
          <w:color w:val="231F20"/>
          <w:sz w:val="22"/>
        </w:rPr>
        <w:t>Sciences</w:t>
      </w:r>
      <w:r>
        <w:rPr>
          <w:color w:val="231F20"/>
          <w:sz w:val="22"/>
        </w:rPr>
        <w:t>. 11(5): 303-305.</w:t>
      </w:r>
    </w:p>
    <w:p>
      <w:pPr>
        <w:pStyle w:val="BodyText"/>
        <w:spacing w:line="249" w:lineRule="auto" w:before="119"/>
        <w:ind w:left="433" w:right="1" w:hanging="432"/>
        <w:jc w:val="both"/>
      </w:pPr>
      <w:r>
        <w:rPr>
          <w:color w:val="231F20"/>
        </w:rPr>
        <w:t>Murugesan, M., Shanmugam, N., Menon, </w:t>
      </w:r>
      <w:r>
        <w:rPr>
          <w:color w:val="231F20"/>
        </w:rPr>
        <w:t>P.P.V., Arokiaraj, A., Dhamo, K.P. and Kochubabu, M. </w:t>
      </w:r>
      <w:r>
        <w:rPr>
          <w:color w:val="231F20"/>
          <w:spacing w:val="-2"/>
        </w:rPr>
        <w:t>1978.</w:t>
      </w:r>
      <w:r>
        <w:rPr>
          <w:color w:val="231F20"/>
          <w:spacing w:val="-6"/>
        </w:rPr>
        <w:t> </w:t>
      </w:r>
      <w:r>
        <w:rPr>
          <w:color w:val="231F20"/>
          <w:spacing w:val="-2"/>
        </w:rPr>
        <w:t>Statistical</w:t>
      </w:r>
      <w:r>
        <w:rPr>
          <w:color w:val="231F20"/>
          <w:spacing w:val="-8"/>
        </w:rPr>
        <w:t> </w:t>
      </w:r>
      <w:r>
        <w:rPr>
          <w:color w:val="231F20"/>
          <w:spacing w:val="-2"/>
        </w:rPr>
        <w:t>arrangement</w:t>
      </w:r>
      <w:r>
        <w:rPr>
          <w:color w:val="231F20"/>
          <w:spacing w:val="-6"/>
        </w:rPr>
        <w:t> </w:t>
      </w:r>
      <w:r>
        <w:rPr>
          <w:color w:val="231F20"/>
          <w:spacing w:val="-2"/>
        </w:rPr>
        <w:t>of</w:t>
      </w:r>
      <w:r>
        <w:rPr>
          <w:color w:val="231F20"/>
          <w:spacing w:val="-6"/>
        </w:rPr>
        <w:t> </w:t>
      </w:r>
      <w:r>
        <w:rPr>
          <w:color w:val="231F20"/>
          <w:spacing w:val="-2"/>
        </w:rPr>
        <w:t>yield</w:t>
      </w:r>
      <w:r>
        <w:rPr>
          <w:color w:val="231F20"/>
          <w:spacing w:val="-6"/>
        </w:rPr>
        <w:t> </w:t>
      </w:r>
      <w:r>
        <w:rPr>
          <w:color w:val="231F20"/>
          <w:spacing w:val="-2"/>
        </w:rPr>
        <w:t>loss</w:t>
      </w:r>
      <w:r>
        <w:rPr>
          <w:color w:val="231F20"/>
          <w:spacing w:val="-6"/>
        </w:rPr>
        <w:t> </w:t>
      </w:r>
      <w:r>
        <w:rPr>
          <w:color w:val="231F20"/>
          <w:spacing w:val="-2"/>
        </w:rPr>
        <w:t>of</w:t>
      </w:r>
      <w:r>
        <w:rPr>
          <w:color w:val="231F20"/>
          <w:spacing w:val="-6"/>
        </w:rPr>
        <w:t> </w:t>
      </w:r>
      <w:r>
        <w:rPr>
          <w:color w:val="231F20"/>
          <w:spacing w:val="-2"/>
        </w:rPr>
        <w:t>sesame </w:t>
      </w:r>
      <w:r>
        <w:rPr>
          <w:color w:val="231F20"/>
        </w:rPr>
        <w:t>due</w:t>
      </w:r>
      <w:r>
        <w:rPr>
          <w:color w:val="231F20"/>
          <w:spacing w:val="-14"/>
        </w:rPr>
        <w:t> </w:t>
      </w:r>
      <w:r>
        <w:rPr>
          <w:color w:val="231F20"/>
        </w:rPr>
        <w:t>to</w:t>
      </w:r>
      <w:r>
        <w:rPr>
          <w:color w:val="231F20"/>
          <w:spacing w:val="-14"/>
        </w:rPr>
        <w:t> </w:t>
      </w:r>
      <w:r>
        <w:rPr>
          <w:color w:val="231F20"/>
        </w:rPr>
        <w:t>insect</w:t>
      </w:r>
      <w:r>
        <w:rPr>
          <w:color w:val="231F20"/>
          <w:spacing w:val="-14"/>
        </w:rPr>
        <w:t> </w:t>
      </w:r>
      <w:r>
        <w:rPr>
          <w:color w:val="231F20"/>
        </w:rPr>
        <w:t>pests</w:t>
      </w:r>
      <w:r>
        <w:rPr>
          <w:color w:val="231F20"/>
          <w:spacing w:val="-13"/>
        </w:rPr>
        <w:t> </w:t>
      </w:r>
      <w:r>
        <w:rPr>
          <w:color w:val="231F20"/>
        </w:rPr>
        <w:t>and</w:t>
      </w:r>
      <w:r>
        <w:rPr>
          <w:color w:val="231F20"/>
          <w:spacing w:val="-14"/>
        </w:rPr>
        <w:t> </w:t>
      </w:r>
      <w:r>
        <w:rPr>
          <w:color w:val="231F20"/>
        </w:rPr>
        <w:t>diseases.</w:t>
      </w:r>
      <w:r>
        <w:rPr>
          <w:color w:val="231F20"/>
          <w:spacing w:val="-14"/>
        </w:rPr>
        <w:t> </w:t>
      </w:r>
      <w:r>
        <w:rPr>
          <w:i/>
          <w:color w:val="231F20"/>
        </w:rPr>
        <w:t>Madras</w:t>
      </w:r>
      <w:r>
        <w:rPr>
          <w:i/>
          <w:color w:val="231F20"/>
          <w:spacing w:val="-14"/>
        </w:rPr>
        <w:t> </w:t>
      </w:r>
      <w:r>
        <w:rPr>
          <w:i/>
          <w:color w:val="231F20"/>
        </w:rPr>
        <w:t>Agriculture Journal. </w:t>
      </w:r>
      <w:r>
        <w:rPr>
          <w:color w:val="231F20"/>
        </w:rPr>
        <w:t>65: 290-295.</w:t>
      </w:r>
    </w:p>
    <w:p>
      <w:pPr>
        <w:pStyle w:val="BodyText"/>
        <w:spacing w:after="0" w:line="249" w:lineRule="auto"/>
        <w:jc w:val="both"/>
        <w:sectPr>
          <w:type w:val="continuous"/>
          <w:pgSz w:w="12480" w:h="15880"/>
          <w:pgMar w:header="0" w:footer="988" w:top="980" w:bottom="1180" w:left="1133" w:right="1133"/>
          <w:cols w:num="2" w:equalWidth="0">
            <w:col w:w="4963" w:space="280"/>
            <w:col w:w="4971"/>
          </w:cols>
        </w:sectPr>
      </w:pPr>
    </w:p>
    <w:p>
      <w:pPr>
        <w:pStyle w:val="BodyText"/>
        <w:spacing w:before="68"/>
        <w:ind w:left="0"/>
        <w:rPr>
          <w:sz w:val="20"/>
        </w:rPr>
      </w:pPr>
    </w:p>
    <w:p>
      <w:pPr>
        <w:pStyle w:val="BodyText"/>
        <w:spacing w:after="0"/>
        <w:rPr>
          <w:sz w:val="20"/>
        </w:rPr>
        <w:sectPr>
          <w:pgSz w:w="12480" w:h="15880"/>
          <w:pgMar w:header="0" w:footer="988" w:top="1180" w:bottom="1180" w:left="1133" w:right="1133"/>
        </w:sectPr>
      </w:pPr>
    </w:p>
    <w:p>
      <w:pPr>
        <w:spacing w:line="249" w:lineRule="auto" w:before="91"/>
        <w:ind w:left="433" w:right="0" w:hanging="432"/>
        <w:jc w:val="both"/>
        <w:rPr>
          <w:sz w:val="22"/>
        </w:rPr>
      </w:pPr>
      <w:r>
        <w:rPr>
          <w:color w:val="231F20"/>
          <w:sz w:val="22"/>
        </w:rPr>
        <w:t>Ramesh Nath Gupta, Saharan, H. S., Rathi, A.S and Ram Avtar. 2020. Identification of </w:t>
      </w:r>
      <w:r>
        <w:rPr>
          <w:color w:val="231F20"/>
          <w:sz w:val="22"/>
        </w:rPr>
        <w:t>Resistance Sources against Charcoal Rot of Sesame Incited</w:t>
      </w:r>
      <w:r>
        <w:rPr>
          <w:color w:val="231F20"/>
          <w:spacing w:val="80"/>
          <w:sz w:val="22"/>
        </w:rPr>
        <w:t> </w:t>
      </w:r>
      <w:r>
        <w:rPr>
          <w:color w:val="231F20"/>
          <w:sz w:val="22"/>
        </w:rPr>
        <w:t>by </w:t>
      </w:r>
      <w:r>
        <w:rPr>
          <w:i/>
          <w:color w:val="231F20"/>
          <w:sz w:val="22"/>
        </w:rPr>
        <w:t>Macrophomina phaseolina </w:t>
      </w:r>
      <w:r>
        <w:rPr>
          <w:color w:val="231F20"/>
          <w:sz w:val="22"/>
        </w:rPr>
        <w:t>(Tassi) Goid. </w:t>
      </w:r>
      <w:r>
        <w:rPr>
          <w:i/>
          <w:color w:val="231F20"/>
          <w:sz w:val="22"/>
        </w:rPr>
        <w:t>International</w:t>
      </w:r>
      <w:r>
        <w:rPr>
          <w:i/>
          <w:color w:val="231F20"/>
          <w:spacing w:val="-6"/>
          <w:sz w:val="22"/>
        </w:rPr>
        <w:t> </w:t>
      </w:r>
      <w:r>
        <w:rPr>
          <w:i/>
          <w:color w:val="231F20"/>
          <w:sz w:val="22"/>
        </w:rPr>
        <w:t>Journal</w:t>
      </w:r>
      <w:r>
        <w:rPr>
          <w:i/>
          <w:color w:val="231F20"/>
          <w:spacing w:val="-6"/>
          <w:sz w:val="22"/>
        </w:rPr>
        <w:t> </w:t>
      </w:r>
      <w:r>
        <w:rPr>
          <w:i/>
          <w:color w:val="231F20"/>
          <w:sz w:val="22"/>
        </w:rPr>
        <w:t>of</w:t>
      </w:r>
      <w:r>
        <w:rPr>
          <w:i/>
          <w:color w:val="231F20"/>
          <w:spacing w:val="-6"/>
          <w:sz w:val="22"/>
        </w:rPr>
        <w:t> </w:t>
      </w:r>
      <w:r>
        <w:rPr>
          <w:i/>
          <w:color w:val="231F20"/>
          <w:sz w:val="22"/>
        </w:rPr>
        <w:t>Current</w:t>
      </w:r>
      <w:r>
        <w:rPr>
          <w:i/>
          <w:color w:val="231F20"/>
          <w:spacing w:val="-6"/>
          <w:sz w:val="22"/>
        </w:rPr>
        <w:t> </w:t>
      </w:r>
      <w:r>
        <w:rPr>
          <w:i/>
          <w:color w:val="231F20"/>
          <w:sz w:val="22"/>
        </w:rPr>
        <w:t>Microbiology</w:t>
      </w:r>
      <w:r>
        <w:rPr>
          <w:i/>
          <w:color w:val="231F20"/>
          <w:spacing w:val="-6"/>
          <w:sz w:val="22"/>
        </w:rPr>
        <w:t> </w:t>
      </w:r>
      <w:r>
        <w:rPr>
          <w:i/>
          <w:color w:val="231F20"/>
          <w:sz w:val="22"/>
        </w:rPr>
        <w:t>and Appied Science. </w:t>
      </w:r>
      <w:r>
        <w:rPr>
          <w:color w:val="231F20"/>
          <w:sz w:val="22"/>
        </w:rPr>
        <w:t>9(2): 1795-1801. doi: https://doi. </w:t>
      </w:r>
      <w:r>
        <w:rPr>
          <w:color w:val="231F20"/>
          <w:spacing w:val="-2"/>
          <w:sz w:val="22"/>
        </w:rPr>
        <w:t>org/10.20546/ijcmas.2020.902.205</w:t>
      </w:r>
    </w:p>
    <w:p>
      <w:pPr>
        <w:pStyle w:val="BodyText"/>
        <w:spacing w:before="121"/>
        <w:jc w:val="both"/>
      </w:pPr>
      <w:r>
        <w:rPr>
          <w:color w:val="231F20"/>
        </w:rPr>
        <w:t>Salari,</w:t>
      </w:r>
      <w:r>
        <w:rPr>
          <w:color w:val="231F20"/>
          <w:spacing w:val="45"/>
        </w:rPr>
        <w:t> </w:t>
      </w:r>
      <w:r>
        <w:rPr>
          <w:color w:val="231F20"/>
        </w:rPr>
        <w:t>M.,</w:t>
      </w:r>
      <w:r>
        <w:rPr>
          <w:color w:val="231F20"/>
          <w:spacing w:val="46"/>
        </w:rPr>
        <w:t> </w:t>
      </w:r>
      <w:r>
        <w:rPr>
          <w:color w:val="231F20"/>
        </w:rPr>
        <w:t>Panjehkeh,</w:t>
      </w:r>
      <w:r>
        <w:rPr>
          <w:color w:val="231F20"/>
          <w:spacing w:val="46"/>
        </w:rPr>
        <w:t> </w:t>
      </w:r>
      <w:r>
        <w:rPr>
          <w:color w:val="231F20"/>
        </w:rPr>
        <w:t>N.,</w:t>
      </w:r>
      <w:r>
        <w:rPr>
          <w:color w:val="231F20"/>
          <w:spacing w:val="45"/>
        </w:rPr>
        <w:t> </w:t>
      </w:r>
      <w:r>
        <w:rPr>
          <w:color w:val="231F20"/>
        </w:rPr>
        <w:t>Nasirpoor,</w:t>
      </w:r>
      <w:r>
        <w:rPr>
          <w:color w:val="231F20"/>
          <w:spacing w:val="46"/>
        </w:rPr>
        <w:t> </w:t>
      </w:r>
      <w:r>
        <w:rPr>
          <w:color w:val="231F20"/>
        </w:rPr>
        <w:t>Z</w:t>
      </w:r>
      <w:r>
        <w:rPr>
          <w:color w:val="231F20"/>
          <w:spacing w:val="46"/>
        </w:rPr>
        <w:t> </w:t>
      </w:r>
      <w:r>
        <w:rPr>
          <w:color w:val="231F20"/>
        </w:rPr>
        <w:t>and</w:t>
      </w:r>
      <w:r>
        <w:rPr>
          <w:color w:val="231F20"/>
          <w:spacing w:val="34"/>
        </w:rPr>
        <w:t> </w:t>
      </w:r>
      <w:r>
        <w:rPr>
          <w:color w:val="231F20"/>
          <w:spacing w:val="-2"/>
        </w:rPr>
        <w:t>Abkhoo,</w:t>
      </w:r>
    </w:p>
    <w:p>
      <w:pPr>
        <w:spacing w:line="249" w:lineRule="auto" w:before="11"/>
        <w:ind w:left="433" w:right="0" w:firstLine="0"/>
        <w:jc w:val="both"/>
        <w:rPr>
          <w:sz w:val="22"/>
        </w:rPr>
      </w:pPr>
      <w:r>
        <w:rPr>
          <w:color w:val="231F20"/>
          <w:sz w:val="22"/>
        </w:rPr>
        <w:t>J. 2012. Screening of </w:t>
      </w:r>
      <w:r>
        <w:rPr>
          <w:i/>
          <w:color w:val="231F20"/>
          <w:sz w:val="22"/>
        </w:rPr>
        <w:t>Cucumis melo </w:t>
      </w:r>
      <w:r>
        <w:rPr>
          <w:color w:val="231F20"/>
          <w:sz w:val="22"/>
        </w:rPr>
        <w:t>L. Cultivars from Iran for Resistance against Soil-</w:t>
      </w:r>
      <w:r>
        <w:rPr>
          <w:color w:val="231F20"/>
          <w:sz w:val="22"/>
        </w:rPr>
        <w:t>Borne</w:t>
      </w:r>
      <w:r>
        <w:rPr>
          <w:color w:val="231F20"/>
          <w:spacing w:val="80"/>
          <w:sz w:val="22"/>
        </w:rPr>
        <w:t> </w:t>
      </w:r>
      <w:r>
        <w:rPr>
          <w:color w:val="231F20"/>
          <w:sz w:val="22"/>
        </w:rPr>
        <w:t>Fungal Pathogens. </w:t>
      </w:r>
      <w:r>
        <w:rPr>
          <w:i/>
          <w:color w:val="231F20"/>
          <w:sz w:val="22"/>
        </w:rPr>
        <w:t>Journal of Plant Pathology and </w:t>
      </w:r>
      <w:r>
        <w:rPr>
          <w:i/>
          <w:color w:val="231F20"/>
          <w:spacing w:val="-4"/>
          <w:sz w:val="22"/>
        </w:rPr>
        <w:t>Microbiology</w:t>
      </w:r>
      <w:r>
        <w:rPr>
          <w:color w:val="231F20"/>
          <w:spacing w:val="-4"/>
          <w:sz w:val="22"/>
        </w:rPr>
        <w:t>.</w:t>
      </w:r>
      <w:r>
        <w:rPr>
          <w:color w:val="231F20"/>
          <w:spacing w:val="-19"/>
          <w:sz w:val="22"/>
        </w:rPr>
        <w:t> </w:t>
      </w:r>
      <w:r>
        <w:rPr>
          <w:color w:val="231F20"/>
          <w:spacing w:val="-4"/>
          <w:sz w:val="22"/>
        </w:rPr>
        <w:t>3(6).</w:t>
      </w:r>
      <w:r>
        <w:rPr>
          <w:color w:val="231F20"/>
          <w:spacing w:val="-19"/>
          <w:sz w:val="22"/>
        </w:rPr>
        <w:t> </w:t>
      </w:r>
      <w:r>
        <w:rPr>
          <w:color w:val="231F20"/>
          <w:spacing w:val="-4"/>
          <w:sz w:val="22"/>
        </w:rPr>
        <w:t>doi:10.4172/2157</w:t>
      </w:r>
      <w:r>
        <w:rPr>
          <w:color w:val="231F20"/>
          <w:spacing w:val="-19"/>
          <w:sz w:val="22"/>
        </w:rPr>
        <w:t> </w:t>
      </w:r>
      <w:r>
        <w:rPr>
          <w:color w:val="231F20"/>
          <w:spacing w:val="-4"/>
          <w:sz w:val="22"/>
        </w:rPr>
        <w:t>7471.1000138.</w:t>
      </w:r>
    </w:p>
    <w:p>
      <w:pPr>
        <w:spacing w:line="249" w:lineRule="auto" w:before="119"/>
        <w:ind w:left="433" w:right="0" w:hanging="432"/>
        <w:jc w:val="both"/>
        <w:rPr>
          <w:sz w:val="22"/>
        </w:rPr>
      </w:pPr>
      <w:r>
        <w:rPr>
          <w:color w:val="231F20"/>
          <w:sz w:val="22"/>
        </w:rPr>
        <w:t>Thiyagu, K., Kandasamy, G., Manivannan, </w:t>
      </w:r>
      <w:r>
        <w:rPr>
          <w:color w:val="231F20"/>
          <w:sz w:val="22"/>
        </w:rPr>
        <w:t>N., Muralidharan, V. and Manoranjitham. S.K. 2007. Identification of resistant genotypes to root rot disease (</w:t>
      </w:r>
      <w:r>
        <w:rPr>
          <w:i/>
          <w:color w:val="231F20"/>
          <w:sz w:val="22"/>
        </w:rPr>
        <w:t>Macrophomina phaseolina</w:t>
      </w:r>
      <w:r>
        <w:rPr>
          <w:color w:val="231F20"/>
          <w:sz w:val="22"/>
        </w:rPr>
        <w:t>) of sesame </w:t>
      </w:r>
      <w:r>
        <w:rPr>
          <w:color w:val="231F20"/>
          <w:spacing w:val="-2"/>
          <w:sz w:val="22"/>
        </w:rPr>
        <w:t>(</w:t>
      </w:r>
      <w:r>
        <w:rPr>
          <w:i/>
          <w:color w:val="231F20"/>
          <w:spacing w:val="-2"/>
          <w:sz w:val="22"/>
        </w:rPr>
        <w:t>Sesamum</w:t>
      </w:r>
      <w:r>
        <w:rPr>
          <w:i/>
          <w:color w:val="231F20"/>
          <w:spacing w:val="-3"/>
          <w:sz w:val="22"/>
        </w:rPr>
        <w:t> </w:t>
      </w:r>
      <w:r>
        <w:rPr>
          <w:i/>
          <w:color w:val="231F20"/>
          <w:spacing w:val="-2"/>
          <w:sz w:val="22"/>
        </w:rPr>
        <w:t>indicum</w:t>
      </w:r>
      <w:r>
        <w:rPr>
          <w:i/>
          <w:color w:val="231F20"/>
          <w:spacing w:val="-3"/>
          <w:sz w:val="22"/>
        </w:rPr>
        <w:t> </w:t>
      </w:r>
      <w:r>
        <w:rPr>
          <w:color w:val="231F20"/>
          <w:spacing w:val="-2"/>
          <w:sz w:val="22"/>
        </w:rPr>
        <w:t>L.).</w:t>
      </w:r>
      <w:r>
        <w:rPr>
          <w:color w:val="231F20"/>
          <w:spacing w:val="-8"/>
          <w:sz w:val="22"/>
        </w:rPr>
        <w:t> </w:t>
      </w:r>
      <w:r>
        <w:rPr>
          <w:i/>
          <w:color w:val="231F20"/>
          <w:spacing w:val="-2"/>
          <w:sz w:val="22"/>
        </w:rPr>
        <w:t>Agricultural</w:t>
      </w:r>
      <w:r>
        <w:rPr>
          <w:i/>
          <w:color w:val="231F20"/>
          <w:spacing w:val="-3"/>
          <w:sz w:val="22"/>
        </w:rPr>
        <w:t> </w:t>
      </w:r>
      <w:r>
        <w:rPr>
          <w:i/>
          <w:color w:val="231F20"/>
          <w:spacing w:val="-2"/>
          <w:sz w:val="22"/>
        </w:rPr>
        <w:t>Science</w:t>
      </w:r>
      <w:r>
        <w:rPr>
          <w:i/>
          <w:color w:val="231F20"/>
          <w:spacing w:val="-3"/>
          <w:sz w:val="22"/>
        </w:rPr>
        <w:t> </w:t>
      </w:r>
      <w:r>
        <w:rPr>
          <w:i/>
          <w:color w:val="231F20"/>
          <w:spacing w:val="-2"/>
          <w:sz w:val="22"/>
        </w:rPr>
        <w:t>Digest</w:t>
      </w:r>
      <w:r>
        <w:rPr>
          <w:color w:val="231F20"/>
          <w:spacing w:val="-2"/>
          <w:sz w:val="22"/>
        </w:rPr>
        <w:t>. </w:t>
      </w:r>
      <w:r>
        <w:rPr>
          <w:color w:val="231F20"/>
          <w:sz w:val="22"/>
        </w:rPr>
        <w:t>27: 34 - 37.</w:t>
      </w:r>
    </w:p>
    <w:p>
      <w:pPr>
        <w:pStyle w:val="BodyText"/>
        <w:spacing w:line="249" w:lineRule="auto" w:before="91"/>
        <w:ind w:left="433" w:right="1" w:hanging="432"/>
        <w:jc w:val="both"/>
      </w:pPr>
      <w:r>
        <w:rPr/>
        <w:br w:type="column"/>
      </w:r>
      <w:r>
        <w:rPr>
          <w:color w:val="231F20"/>
        </w:rPr>
        <w:t>Vyas, S.C. 1981. Diseases in sesame in India and their control. </w:t>
      </w:r>
      <w:r>
        <w:rPr>
          <w:i/>
          <w:color w:val="231F20"/>
        </w:rPr>
        <w:t>Pesticides. </w:t>
      </w:r>
      <w:r>
        <w:rPr>
          <w:color w:val="231F20"/>
        </w:rPr>
        <w:t>15: 9-10.</w:t>
      </w:r>
    </w:p>
    <w:p>
      <w:pPr>
        <w:pStyle w:val="BodyText"/>
        <w:spacing w:line="249" w:lineRule="auto" w:before="117"/>
        <w:ind w:left="433" w:right="1" w:hanging="432"/>
        <w:jc w:val="both"/>
      </w:pPr>
      <w:r>
        <w:rPr>
          <w:color w:val="231F20"/>
        </w:rPr>
        <w:t>Yadav, R., Kalia, S., Rangan, P., Pradheep, K., </w:t>
      </w:r>
      <w:r>
        <w:rPr>
          <w:color w:val="231F20"/>
        </w:rPr>
        <w:t>Rao, </w:t>
      </w:r>
      <w:r>
        <w:rPr>
          <w:color w:val="231F20"/>
          <w:spacing w:val="-2"/>
        </w:rPr>
        <w:t>G.P.,</w:t>
      </w:r>
      <w:r>
        <w:rPr>
          <w:color w:val="231F20"/>
          <w:spacing w:val="-6"/>
        </w:rPr>
        <w:t> </w:t>
      </w:r>
      <w:r>
        <w:rPr>
          <w:color w:val="231F20"/>
          <w:spacing w:val="-2"/>
        </w:rPr>
        <w:t>Kaur,</w:t>
      </w:r>
      <w:r>
        <w:rPr>
          <w:color w:val="231F20"/>
          <w:spacing w:val="-10"/>
        </w:rPr>
        <w:t> </w:t>
      </w:r>
      <w:r>
        <w:rPr>
          <w:color w:val="231F20"/>
          <w:spacing w:val="-2"/>
        </w:rPr>
        <w:t>V.,</w:t>
      </w:r>
      <w:r>
        <w:rPr>
          <w:color w:val="231F20"/>
          <w:spacing w:val="-6"/>
        </w:rPr>
        <w:t> </w:t>
      </w:r>
      <w:r>
        <w:rPr>
          <w:color w:val="231F20"/>
          <w:spacing w:val="-2"/>
        </w:rPr>
        <w:t>Pandey,</w:t>
      </w:r>
      <w:r>
        <w:rPr>
          <w:color w:val="231F20"/>
          <w:spacing w:val="-6"/>
        </w:rPr>
        <w:t> </w:t>
      </w:r>
      <w:r>
        <w:rPr>
          <w:color w:val="231F20"/>
          <w:spacing w:val="-2"/>
        </w:rPr>
        <w:t>R.,</w:t>
      </w:r>
      <w:r>
        <w:rPr>
          <w:color w:val="231F20"/>
          <w:spacing w:val="-6"/>
        </w:rPr>
        <w:t> </w:t>
      </w:r>
      <w:r>
        <w:rPr>
          <w:color w:val="231F20"/>
          <w:spacing w:val="-2"/>
        </w:rPr>
        <w:t>Rai,</w:t>
      </w:r>
      <w:r>
        <w:rPr>
          <w:color w:val="231F20"/>
          <w:spacing w:val="-10"/>
        </w:rPr>
        <w:t> </w:t>
      </w:r>
      <w:r>
        <w:rPr>
          <w:color w:val="231F20"/>
          <w:spacing w:val="-2"/>
        </w:rPr>
        <w:t>V.,</w:t>
      </w:r>
      <w:r>
        <w:rPr>
          <w:color w:val="231F20"/>
          <w:spacing w:val="-9"/>
        </w:rPr>
        <w:t> </w:t>
      </w:r>
      <w:r>
        <w:rPr>
          <w:color w:val="231F20"/>
          <w:spacing w:val="-2"/>
        </w:rPr>
        <w:t>Vasimalla,</w:t>
      </w:r>
      <w:r>
        <w:rPr>
          <w:color w:val="231F20"/>
          <w:spacing w:val="-6"/>
        </w:rPr>
        <w:t> </w:t>
      </w:r>
      <w:r>
        <w:rPr>
          <w:color w:val="231F20"/>
          <w:spacing w:val="-2"/>
        </w:rPr>
        <w:t>C.C., </w:t>
      </w:r>
      <w:r>
        <w:rPr>
          <w:color w:val="231F20"/>
        </w:rPr>
        <w:t>Langyan,</w:t>
      </w:r>
      <w:r>
        <w:rPr>
          <w:color w:val="231F20"/>
          <w:spacing w:val="-14"/>
        </w:rPr>
        <w:t> </w:t>
      </w:r>
      <w:r>
        <w:rPr>
          <w:color w:val="231F20"/>
        </w:rPr>
        <w:t>S.,</w:t>
      </w:r>
      <w:r>
        <w:rPr>
          <w:color w:val="231F20"/>
          <w:spacing w:val="-14"/>
        </w:rPr>
        <w:t> </w:t>
      </w:r>
      <w:r>
        <w:rPr>
          <w:color w:val="231F20"/>
        </w:rPr>
        <w:t>Sharma,</w:t>
      </w:r>
      <w:r>
        <w:rPr>
          <w:color w:val="231F20"/>
          <w:spacing w:val="-14"/>
        </w:rPr>
        <w:t> </w:t>
      </w:r>
      <w:r>
        <w:rPr>
          <w:color w:val="231F20"/>
        </w:rPr>
        <w:t>S.,</w:t>
      </w:r>
      <w:r>
        <w:rPr>
          <w:color w:val="231F20"/>
          <w:spacing w:val="-13"/>
        </w:rPr>
        <w:t> </w:t>
      </w:r>
      <w:r>
        <w:rPr>
          <w:color w:val="231F20"/>
        </w:rPr>
        <w:t>Thangavel,</w:t>
      </w:r>
      <w:r>
        <w:rPr>
          <w:color w:val="231F20"/>
          <w:spacing w:val="-14"/>
        </w:rPr>
        <w:t> </w:t>
      </w:r>
      <w:r>
        <w:rPr>
          <w:color w:val="231F20"/>
        </w:rPr>
        <w:t>B.,</w:t>
      </w:r>
      <w:r>
        <w:rPr>
          <w:color w:val="231F20"/>
          <w:spacing w:val="-14"/>
        </w:rPr>
        <w:t> </w:t>
      </w:r>
      <w:r>
        <w:rPr>
          <w:color w:val="231F20"/>
        </w:rPr>
        <w:t>Rana,</w:t>
      </w:r>
      <w:r>
        <w:rPr>
          <w:color w:val="231F20"/>
          <w:spacing w:val="-14"/>
        </w:rPr>
        <w:t> </w:t>
      </w:r>
      <w:r>
        <w:rPr>
          <w:color w:val="231F20"/>
        </w:rPr>
        <w:t>V.S., Vishwakarma, H., Shah, A., Saxena, A., Kumar, A., Singh, K and Siddique, K.H.M. 2022. Current </w:t>
      </w:r>
      <w:r>
        <w:rPr>
          <w:color w:val="231F20"/>
          <w:spacing w:val="-2"/>
        </w:rPr>
        <w:t>Research</w:t>
      </w:r>
      <w:r>
        <w:rPr>
          <w:color w:val="231F20"/>
          <w:spacing w:val="-12"/>
        </w:rPr>
        <w:t> </w:t>
      </w:r>
      <w:r>
        <w:rPr>
          <w:color w:val="231F20"/>
          <w:spacing w:val="-2"/>
        </w:rPr>
        <w:t>Trends</w:t>
      </w:r>
      <w:r>
        <w:rPr>
          <w:color w:val="231F20"/>
          <w:spacing w:val="-12"/>
        </w:rPr>
        <w:t> </w:t>
      </w:r>
      <w:r>
        <w:rPr>
          <w:color w:val="231F20"/>
          <w:spacing w:val="-2"/>
        </w:rPr>
        <w:t>and</w:t>
      </w:r>
      <w:r>
        <w:rPr>
          <w:color w:val="231F20"/>
          <w:spacing w:val="-12"/>
        </w:rPr>
        <w:t> </w:t>
      </w:r>
      <w:r>
        <w:rPr>
          <w:color w:val="231F20"/>
          <w:spacing w:val="-2"/>
        </w:rPr>
        <w:t>Prospects</w:t>
      </w:r>
      <w:r>
        <w:rPr>
          <w:color w:val="231F20"/>
          <w:spacing w:val="-11"/>
        </w:rPr>
        <w:t> </w:t>
      </w:r>
      <w:r>
        <w:rPr>
          <w:color w:val="231F20"/>
          <w:spacing w:val="-2"/>
        </w:rPr>
        <w:t>for</w:t>
      </w:r>
      <w:r>
        <w:rPr>
          <w:color w:val="231F20"/>
          <w:spacing w:val="-12"/>
        </w:rPr>
        <w:t> </w:t>
      </w:r>
      <w:r>
        <w:rPr>
          <w:color w:val="231F20"/>
          <w:spacing w:val="-2"/>
        </w:rPr>
        <w:t>Yield</w:t>
      </w:r>
      <w:r>
        <w:rPr>
          <w:color w:val="231F20"/>
          <w:spacing w:val="-12"/>
        </w:rPr>
        <w:t> </w:t>
      </w:r>
      <w:r>
        <w:rPr>
          <w:color w:val="231F20"/>
          <w:spacing w:val="-2"/>
        </w:rPr>
        <w:t>and</w:t>
      </w:r>
      <w:r>
        <w:rPr>
          <w:color w:val="231F20"/>
          <w:spacing w:val="-12"/>
        </w:rPr>
        <w:t> </w:t>
      </w:r>
      <w:r>
        <w:rPr>
          <w:color w:val="231F20"/>
          <w:spacing w:val="-2"/>
        </w:rPr>
        <w:t>Quality </w:t>
      </w:r>
      <w:r>
        <w:rPr>
          <w:color w:val="231F20"/>
        </w:rPr>
        <w:t>Improvement in Sesame, an Important Oilseed Crop. </w:t>
      </w:r>
      <w:r>
        <w:rPr>
          <w:i/>
          <w:color w:val="231F20"/>
        </w:rPr>
        <w:t>Frontiers in Plant Science. </w:t>
      </w:r>
      <w:r>
        <w:rPr>
          <w:color w:val="231F20"/>
        </w:rPr>
        <w:t>13: 863521. doi: </w:t>
      </w:r>
      <w:r>
        <w:rPr>
          <w:color w:val="231F20"/>
          <w:spacing w:val="-2"/>
        </w:rPr>
        <w:t>10.3389/fpls.2022.863521</w:t>
      </w:r>
    </w:p>
    <w:sectPr>
      <w:type w:val="continuous"/>
      <w:pgSz w:w="12480" w:h="15880"/>
      <w:pgMar w:header="0" w:footer="988" w:top="980" w:bottom="1180" w:left="1133" w:right="1133"/>
      <w:cols w:num="2" w:equalWidth="0">
        <w:col w:w="4962" w:space="281"/>
        <w:col w:w="497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6804480">
              <wp:simplePos x="0" y="0"/>
              <wp:positionH relativeFrom="page">
                <wp:posOffset>3851859</wp:posOffset>
              </wp:positionH>
              <wp:positionV relativeFrom="page">
                <wp:posOffset>9313136</wp:posOffset>
              </wp:positionV>
              <wp:extent cx="228600" cy="1803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15</w:t>
                          </w:r>
                          <w:r>
                            <w:rPr>
                              <w:color w:val="231F20"/>
                              <w:spacing w:val="-5"/>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03.29599pt;margin-top:733.31781pt;width:18pt;height:14.2pt;mso-position-horizontal-relative:page;mso-position-vertical-relative:page;z-index:-16512000" type="#_x0000_t202" id="docshape1"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15</w:t>
                    </w:r>
                    <w:r>
                      <w:rPr>
                        <w:color w:val="231F20"/>
                        <w:spacing w:val="-5"/>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6804992">
              <wp:simplePos x="0" y="0"/>
              <wp:positionH relativeFrom="page">
                <wp:posOffset>3851859</wp:posOffset>
              </wp:positionH>
              <wp:positionV relativeFrom="page">
                <wp:posOffset>9313136</wp:posOffset>
              </wp:positionV>
              <wp:extent cx="228600" cy="18034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16</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3.29599pt;margin-top:733.31781pt;width:18pt;height:14.2pt;mso-position-horizontal-relative:page;mso-position-vertical-relative:page;z-index:-16511488" type="#_x0000_t202" id="docshape2"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16</w:t>
                    </w:r>
                    <w:r>
                      <w:rPr>
                        <w:color w:val="231F20"/>
                        <w:spacing w:val="-5"/>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6806528">
              <wp:simplePos x="0" y="0"/>
              <wp:positionH relativeFrom="page">
                <wp:posOffset>3851859</wp:posOffset>
              </wp:positionH>
              <wp:positionV relativeFrom="page">
                <wp:posOffset>9313136</wp:posOffset>
              </wp:positionV>
              <wp:extent cx="228600" cy="18034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17</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3.29599pt;margin-top:733.31781pt;width:18pt;height:14.2pt;mso-position-horizontal-relative:page;mso-position-vertical-relative:page;z-index:-16509952" type="#_x0000_t202" id="docshape6"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17</w:t>
                    </w:r>
                    <w:r>
                      <w:rPr>
                        <w:color w:val="231F20"/>
                        <w:spacing w:val="-5"/>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6807040">
              <wp:simplePos x="0" y="0"/>
              <wp:positionH relativeFrom="page">
                <wp:posOffset>3851859</wp:posOffset>
              </wp:positionH>
              <wp:positionV relativeFrom="page">
                <wp:posOffset>9313136</wp:posOffset>
              </wp:positionV>
              <wp:extent cx="228600" cy="180340"/>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22860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18</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3.29599pt;margin-top:733.31781pt;width:18pt;height:14.2pt;mso-position-horizontal-relative:page;mso-position-vertical-relative:page;z-index:-16509440" type="#_x0000_t202" id="docshape7"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18</w:t>
                    </w:r>
                    <w:r>
                      <w:rPr>
                        <w:color w:val="231F20"/>
                        <w:spacing w:val="-5"/>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6805504">
              <wp:simplePos x="0" y="0"/>
              <wp:positionH relativeFrom="page">
                <wp:posOffset>3574905</wp:posOffset>
              </wp:positionH>
              <wp:positionV relativeFrom="page">
                <wp:posOffset>589832</wp:posOffset>
              </wp:positionV>
              <wp:extent cx="770255" cy="18034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770255" cy="180340"/>
                      </a:xfrm>
                      <a:prstGeom prst="rect">
                        <a:avLst/>
                      </a:prstGeom>
                    </wps:spPr>
                    <wps:txbx>
                      <w:txbxContent>
                        <w:p>
                          <w:pPr>
                            <w:spacing w:before="10"/>
                            <w:ind w:left="20" w:right="0" w:firstLine="0"/>
                            <w:jc w:val="left"/>
                            <w:rPr>
                              <w:i/>
                              <w:sz w:val="22"/>
                            </w:rPr>
                          </w:pPr>
                          <w:r>
                            <w:rPr>
                              <w:color w:val="231F20"/>
                              <w:sz w:val="22"/>
                            </w:rPr>
                            <w:t>Vishnu</w:t>
                          </w:r>
                          <w:r>
                            <w:rPr>
                              <w:color w:val="231F20"/>
                              <w:spacing w:val="-7"/>
                              <w:sz w:val="22"/>
                            </w:rPr>
                            <w:t> </w:t>
                          </w:r>
                          <w:r>
                            <w:rPr>
                              <w:i/>
                              <w:color w:val="231F20"/>
                              <w:sz w:val="22"/>
                            </w:rPr>
                            <w:t>et</w:t>
                          </w:r>
                          <w:r>
                            <w:rPr>
                              <w:i/>
                              <w:color w:val="231F20"/>
                              <w:spacing w:val="-7"/>
                              <w:sz w:val="22"/>
                            </w:rPr>
                            <w:t> </w:t>
                          </w:r>
                          <w:r>
                            <w:rPr>
                              <w:i/>
                              <w:color w:val="231F20"/>
                              <w:spacing w:val="-4"/>
                              <w:sz w:val="22"/>
                            </w:rPr>
                            <w:t>al.,</w:t>
                          </w:r>
                        </w:p>
                      </w:txbxContent>
                    </wps:txbx>
                    <wps:bodyPr wrap="square" lIns="0" tIns="0" rIns="0" bIns="0" rtlCol="0">
                      <a:noAutofit/>
                    </wps:bodyPr>
                  </wps:wsp>
                </a:graphicData>
              </a:graphic>
            </wp:anchor>
          </w:drawing>
        </mc:Choice>
        <mc:Fallback>
          <w:pict>
            <v:shape style="position:absolute;margin-left:281.488586pt;margin-top:46.443481pt;width:60.65pt;height:14.2pt;mso-position-horizontal-relative:page;mso-position-vertical-relative:page;z-index:-16510976" type="#_x0000_t202" id="docshape4" filled="false" stroked="false">
              <v:textbox inset="0,0,0,0">
                <w:txbxContent>
                  <w:p>
                    <w:pPr>
                      <w:spacing w:before="10"/>
                      <w:ind w:left="20" w:right="0" w:firstLine="0"/>
                      <w:jc w:val="left"/>
                      <w:rPr>
                        <w:i/>
                        <w:sz w:val="22"/>
                      </w:rPr>
                    </w:pPr>
                    <w:r>
                      <w:rPr>
                        <w:color w:val="231F20"/>
                        <w:sz w:val="22"/>
                      </w:rPr>
                      <w:t>Vishnu</w:t>
                    </w:r>
                    <w:r>
                      <w:rPr>
                        <w:color w:val="231F20"/>
                        <w:spacing w:val="-7"/>
                        <w:sz w:val="22"/>
                      </w:rPr>
                      <w:t> </w:t>
                    </w:r>
                    <w:r>
                      <w:rPr>
                        <w:i/>
                        <w:color w:val="231F20"/>
                        <w:sz w:val="22"/>
                      </w:rPr>
                      <w:t>et</w:t>
                    </w:r>
                    <w:r>
                      <w:rPr>
                        <w:i/>
                        <w:color w:val="231F20"/>
                        <w:spacing w:val="-7"/>
                        <w:sz w:val="22"/>
                      </w:rPr>
                      <w:t> </w:t>
                    </w:r>
                    <w:r>
                      <w:rPr>
                        <w:i/>
                        <w:color w:val="231F20"/>
                        <w:spacing w:val="-4"/>
                        <w:sz w:val="22"/>
                      </w:rPr>
                      <w:t>al.,</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6806016">
              <wp:simplePos x="0" y="0"/>
              <wp:positionH relativeFrom="page">
                <wp:posOffset>2593957</wp:posOffset>
              </wp:positionH>
              <wp:positionV relativeFrom="page">
                <wp:posOffset>588460</wp:posOffset>
              </wp:positionV>
              <wp:extent cx="2735580" cy="18034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735580" cy="180340"/>
                      </a:xfrm>
                      <a:prstGeom prst="rect">
                        <a:avLst/>
                      </a:prstGeom>
                    </wps:spPr>
                    <wps:txbx>
                      <w:txbxContent>
                        <w:p>
                          <w:pPr>
                            <w:spacing w:before="10"/>
                            <w:ind w:left="20" w:right="0" w:firstLine="0"/>
                            <w:jc w:val="left"/>
                            <w:rPr>
                              <w:sz w:val="22"/>
                            </w:rPr>
                          </w:pPr>
                          <w:r>
                            <w:rPr>
                              <w:color w:val="231F20"/>
                              <w:sz w:val="22"/>
                            </w:rPr>
                            <w:t>Evaluation</w:t>
                          </w:r>
                          <w:r>
                            <w:rPr>
                              <w:color w:val="231F20"/>
                              <w:spacing w:val="-3"/>
                              <w:sz w:val="22"/>
                            </w:rPr>
                            <w:t> </w:t>
                          </w:r>
                          <w:r>
                            <w:rPr>
                              <w:color w:val="231F20"/>
                              <w:sz w:val="22"/>
                            </w:rPr>
                            <w:t>of</w:t>
                          </w:r>
                          <w:r>
                            <w:rPr>
                              <w:color w:val="231F20"/>
                              <w:spacing w:val="-3"/>
                              <w:sz w:val="22"/>
                            </w:rPr>
                            <w:t> </w:t>
                          </w:r>
                          <w:r>
                            <w:rPr>
                              <w:color w:val="231F20"/>
                              <w:sz w:val="22"/>
                            </w:rPr>
                            <w:t>sesame</w:t>
                          </w:r>
                          <w:r>
                            <w:rPr>
                              <w:color w:val="231F20"/>
                              <w:spacing w:val="-3"/>
                              <w:sz w:val="22"/>
                            </w:rPr>
                            <w:t> </w:t>
                          </w:r>
                          <w:r>
                            <w:rPr>
                              <w:color w:val="231F20"/>
                              <w:sz w:val="22"/>
                            </w:rPr>
                            <w:t>...</w:t>
                          </w:r>
                          <w:r>
                            <w:rPr>
                              <w:color w:val="231F20"/>
                              <w:spacing w:val="-3"/>
                              <w:sz w:val="22"/>
                            </w:rPr>
                            <w:t> </w:t>
                          </w:r>
                          <w:r>
                            <w:rPr>
                              <w:i/>
                              <w:color w:val="231F20"/>
                              <w:sz w:val="22"/>
                            </w:rPr>
                            <w:t>phaseolina</w:t>
                          </w:r>
                          <w:r>
                            <w:rPr>
                              <w:i/>
                              <w:color w:val="231F20"/>
                              <w:spacing w:val="-3"/>
                              <w:sz w:val="22"/>
                            </w:rPr>
                            <w:t> </w:t>
                          </w:r>
                          <w:r>
                            <w:rPr>
                              <w:color w:val="231F20"/>
                              <w:sz w:val="22"/>
                            </w:rPr>
                            <w:t>(Tassi)</w:t>
                          </w:r>
                          <w:r>
                            <w:rPr>
                              <w:color w:val="231F20"/>
                              <w:spacing w:val="-2"/>
                              <w:sz w:val="22"/>
                            </w:rPr>
                            <w:t> </w:t>
                          </w:r>
                          <w:r>
                            <w:rPr>
                              <w:color w:val="231F20"/>
                              <w:spacing w:val="-4"/>
                              <w:sz w:val="22"/>
                            </w:rPr>
                            <w:t>Goid</w:t>
                          </w:r>
                        </w:p>
                      </w:txbxContent>
                    </wps:txbx>
                    <wps:bodyPr wrap="square" lIns="0" tIns="0" rIns="0" bIns="0" rtlCol="0">
                      <a:noAutofit/>
                    </wps:bodyPr>
                  </wps:wsp>
                </a:graphicData>
              </a:graphic>
            </wp:anchor>
          </w:drawing>
        </mc:Choice>
        <mc:Fallback>
          <w:pict>
            <v:shape style="position:absolute;margin-left:204.248596pt;margin-top:46.33548pt;width:215.4pt;height:14.2pt;mso-position-horizontal-relative:page;mso-position-vertical-relative:page;z-index:-16510464" type="#_x0000_t202" id="docshape5" filled="false" stroked="false">
              <v:textbox inset="0,0,0,0">
                <w:txbxContent>
                  <w:p>
                    <w:pPr>
                      <w:spacing w:before="10"/>
                      <w:ind w:left="20" w:right="0" w:firstLine="0"/>
                      <w:jc w:val="left"/>
                      <w:rPr>
                        <w:sz w:val="22"/>
                      </w:rPr>
                    </w:pPr>
                    <w:r>
                      <w:rPr>
                        <w:color w:val="231F20"/>
                        <w:sz w:val="22"/>
                      </w:rPr>
                      <w:t>Evaluation</w:t>
                    </w:r>
                    <w:r>
                      <w:rPr>
                        <w:color w:val="231F20"/>
                        <w:spacing w:val="-3"/>
                        <w:sz w:val="22"/>
                      </w:rPr>
                      <w:t> </w:t>
                    </w:r>
                    <w:r>
                      <w:rPr>
                        <w:color w:val="231F20"/>
                        <w:sz w:val="22"/>
                      </w:rPr>
                      <w:t>of</w:t>
                    </w:r>
                    <w:r>
                      <w:rPr>
                        <w:color w:val="231F20"/>
                        <w:spacing w:val="-3"/>
                        <w:sz w:val="22"/>
                      </w:rPr>
                      <w:t> </w:t>
                    </w:r>
                    <w:r>
                      <w:rPr>
                        <w:color w:val="231F20"/>
                        <w:sz w:val="22"/>
                      </w:rPr>
                      <w:t>sesame</w:t>
                    </w:r>
                    <w:r>
                      <w:rPr>
                        <w:color w:val="231F20"/>
                        <w:spacing w:val="-3"/>
                        <w:sz w:val="22"/>
                      </w:rPr>
                      <w:t> </w:t>
                    </w:r>
                    <w:r>
                      <w:rPr>
                        <w:color w:val="231F20"/>
                        <w:sz w:val="22"/>
                      </w:rPr>
                      <w:t>...</w:t>
                    </w:r>
                    <w:r>
                      <w:rPr>
                        <w:color w:val="231F20"/>
                        <w:spacing w:val="-3"/>
                        <w:sz w:val="22"/>
                      </w:rPr>
                      <w:t> </w:t>
                    </w:r>
                    <w:r>
                      <w:rPr>
                        <w:i/>
                        <w:color w:val="231F20"/>
                        <w:sz w:val="22"/>
                      </w:rPr>
                      <w:t>phaseolina</w:t>
                    </w:r>
                    <w:r>
                      <w:rPr>
                        <w:i/>
                        <w:color w:val="231F20"/>
                        <w:spacing w:val="-3"/>
                        <w:sz w:val="22"/>
                      </w:rPr>
                      <w:t> </w:t>
                    </w:r>
                    <w:r>
                      <w:rPr>
                        <w:color w:val="231F20"/>
                        <w:sz w:val="22"/>
                      </w:rPr>
                      <w:t>(Tassi)</w:t>
                    </w:r>
                    <w:r>
                      <w:rPr>
                        <w:color w:val="231F20"/>
                        <w:spacing w:val="-2"/>
                        <w:sz w:val="22"/>
                      </w:rPr>
                      <w:t> </w:t>
                    </w:r>
                    <w:r>
                      <w:rPr>
                        <w:color w:val="231F20"/>
                        <w:spacing w:val="-4"/>
                        <w:sz w:val="22"/>
                      </w:rPr>
                      <w:t>Goid</w:t>
                    </w:r>
                  </w:p>
                </w:txbxContent>
              </v:textbox>
              <w10:wrap type="none"/>
            </v:shape>
          </w:pict>
        </mc:Fallback>
      </mc:AlternateConten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1"/>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spacing w:before="123"/>
      <w:ind w:left="1"/>
      <w:jc w:val="both"/>
      <w:outlineLvl w:val="1"/>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spacing w:before="36"/>
      <w:jc w:val="center"/>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hyperlink" Target="mailto:vishnuagri2001@gmail.com" TargetMode="Externa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footer" Target="footer3.xml"/><Relationship Id="rId13"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2026-05-09T05:45:24Z</dcterms:created>
  <dcterms:modified xsi:type="dcterms:W3CDTF">2026-05-09T05:45:24Z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2026-05-02T00:00:00Z</vt:filetime>
  </property>
  <property fmtid="{D5CDD505-2E9C-101B-9397-08002B2CF9AE}" pid="3" name="Creator">
    <vt:lpwstr>Adobe InDesign CS6 (Windows)</vt:lpwstr>
  </property>
  <property fmtid="{D5CDD505-2E9C-101B-9397-08002B2CF9AE}" pid="4" name="LastSaved">
    <vt:filetime>2026-05-09T00:00:00Z</vt:filetime>
  </property>
  <property fmtid="{D5CDD505-2E9C-101B-9397-08002B2CF9AE}" pid="5" name="Producer">
    <vt:lpwstr>Adobe PDF Library 10.0.1</vt:lpwstr>
  </property>
</Properties>
</file>